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B1A3" w14:textId="77777777" w:rsidR="00255B24" w:rsidRDefault="00255B24">
      <w:pPr>
        <w:adjustRightInd w:val="0"/>
        <w:snapToGrid w:val="0"/>
        <w:spacing w:line="360" w:lineRule="auto"/>
        <w:jc w:val="center"/>
        <w:rPr>
          <w:rFonts w:ascii="宋体" w:hAnsi="宋体" w:cs="Arial"/>
          <w:sz w:val="24"/>
        </w:rPr>
      </w:pPr>
    </w:p>
    <w:p w14:paraId="051E8BD1" w14:textId="77777777" w:rsidR="00255B24" w:rsidRDefault="00255B24">
      <w:pPr>
        <w:adjustRightInd w:val="0"/>
        <w:snapToGrid w:val="0"/>
        <w:spacing w:line="360" w:lineRule="auto"/>
        <w:jc w:val="center"/>
        <w:rPr>
          <w:rFonts w:ascii="宋体" w:hAnsi="宋体" w:cs="Arial"/>
          <w:sz w:val="24"/>
        </w:rPr>
      </w:pPr>
    </w:p>
    <w:p w14:paraId="7FE67CFB" w14:textId="77777777" w:rsidR="00255B24" w:rsidRDefault="00255B24">
      <w:pPr>
        <w:adjustRightInd w:val="0"/>
        <w:snapToGrid w:val="0"/>
        <w:spacing w:line="360" w:lineRule="auto"/>
        <w:jc w:val="center"/>
        <w:rPr>
          <w:rFonts w:ascii="宋体" w:hAnsi="宋体" w:cs="Arial"/>
          <w:sz w:val="24"/>
        </w:rPr>
      </w:pPr>
    </w:p>
    <w:p w14:paraId="4855A1E5" w14:textId="77777777" w:rsidR="00255B24" w:rsidRDefault="00255B24">
      <w:pPr>
        <w:adjustRightInd w:val="0"/>
        <w:snapToGrid w:val="0"/>
        <w:spacing w:line="360" w:lineRule="auto"/>
        <w:jc w:val="center"/>
        <w:rPr>
          <w:rFonts w:ascii="宋体" w:hAnsi="宋体" w:cs="Arial"/>
          <w:sz w:val="24"/>
        </w:rPr>
      </w:pPr>
    </w:p>
    <w:p w14:paraId="183099A6" w14:textId="77777777" w:rsidR="00255B24" w:rsidRDefault="00F94547">
      <w:pPr>
        <w:adjustRightInd w:val="0"/>
        <w:snapToGrid w:val="0"/>
        <w:spacing w:line="360" w:lineRule="auto"/>
        <w:jc w:val="center"/>
        <w:rPr>
          <w:rFonts w:ascii="宋体" w:hAnsi="宋体" w:cs="Arial"/>
          <w:b/>
          <w:sz w:val="44"/>
        </w:rPr>
      </w:pPr>
      <w:r>
        <w:rPr>
          <w:rFonts w:ascii="宋体" w:hAnsi="宋体" w:cs="Arial" w:hint="eastAsia"/>
          <w:b/>
          <w:sz w:val="44"/>
        </w:rPr>
        <w:t>安</w:t>
      </w:r>
      <w:proofErr w:type="gramStart"/>
      <w:r>
        <w:rPr>
          <w:rFonts w:ascii="宋体" w:hAnsi="宋体" w:cs="Arial" w:hint="eastAsia"/>
          <w:b/>
          <w:sz w:val="44"/>
        </w:rPr>
        <w:t>信数字</w:t>
      </w:r>
      <w:proofErr w:type="gramEnd"/>
      <w:r>
        <w:rPr>
          <w:rFonts w:ascii="宋体" w:hAnsi="宋体" w:cs="Arial" w:hint="eastAsia"/>
          <w:b/>
          <w:sz w:val="44"/>
        </w:rPr>
        <w:t>经济股票型发起式证券投资基金</w:t>
      </w:r>
    </w:p>
    <w:p w14:paraId="1B832569" w14:textId="1EC6B5B5" w:rsidR="00255B24" w:rsidRDefault="00F94547">
      <w:pPr>
        <w:adjustRightInd w:val="0"/>
        <w:snapToGrid w:val="0"/>
        <w:spacing w:line="360" w:lineRule="auto"/>
        <w:jc w:val="center"/>
        <w:rPr>
          <w:rFonts w:ascii="宋体" w:hAnsi="宋体" w:cs="Arial"/>
          <w:b/>
          <w:sz w:val="44"/>
        </w:rPr>
      </w:pPr>
      <w:r>
        <w:rPr>
          <w:rFonts w:ascii="宋体" w:hAnsi="宋体" w:cs="Arial" w:hint="eastAsia"/>
          <w:b/>
          <w:sz w:val="44"/>
        </w:rPr>
        <w:t>托管协议</w:t>
      </w:r>
    </w:p>
    <w:p w14:paraId="113EF827" w14:textId="77777777" w:rsidR="00255B24" w:rsidRDefault="00255B24"/>
    <w:p w14:paraId="37C29CD3" w14:textId="77777777" w:rsidR="00255B24" w:rsidRDefault="00255B24"/>
    <w:p w14:paraId="40072E62" w14:textId="77777777" w:rsidR="00255B24" w:rsidRDefault="00255B24"/>
    <w:p w14:paraId="6E8B365F" w14:textId="77777777" w:rsidR="00255B24" w:rsidRDefault="00255B24"/>
    <w:p w14:paraId="6DB1D35E" w14:textId="77777777" w:rsidR="00255B24" w:rsidRDefault="00255B24"/>
    <w:p w14:paraId="5A06BCE6" w14:textId="77777777" w:rsidR="00255B24" w:rsidRDefault="00255B24"/>
    <w:p w14:paraId="4F89B838" w14:textId="77777777" w:rsidR="00255B24" w:rsidRDefault="00255B24"/>
    <w:p w14:paraId="716D0F10" w14:textId="77777777" w:rsidR="00255B24" w:rsidRDefault="00255B24"/>
    <w:p w14:paraId="7FE7C707" w14:textId="77777777" w:rsidR="00255B24" w:rsidRDefault="00255B24"/>
    <w:p w14:paraId="79CB5F3C" w14:textId="77777777" w:rsidR="00255B24" w:rsidRDefault="00255B24"/>
    <w:p w14:paraId="0A117F34" w14:textId="77777777" w:rsidR="00255B24" w:rsidRDefault="00255B24"/>
    <w:p w14:paraId="5C49B1D9" w14:textId="77777777" w:rsidR="00255B24" w:rsidRDefault="00255B24"/>
    <w:p w14:paraId="1238C85F" w14:textId="77777777" w:rsidR="00255B24" w:rsidRDefault="00255B24"/>
    <w:p w14:paraId="276BA5A0" w14:textId="77777777" w:rsidR="00255B24" w:rsidRDefault="00255B24"/>
    <w:p w14:paraId="67BDBF0B" w14:textId="77777777" w:rsidR="00255B24" w:rsidRDefault="00255B24"/>
    <w:p w14:paraId="7556F39E" w14:textId="77777777" w:rsidR="00255B24" w:rsidRDefault="00255B24"/>
    <w:p w14:paraId="23CCE072" w14:textId="77777777" w:rsidR="00255B24" w:rsidRDefault="00255B24"/>
    <w:p w14:paraId="05CB4C8F" w14:textId="77777777" w:rsidR="00255B24" w:rsidRDefault="00F94547">
      <w:pPr>
        <w:jc w:val="center"/>
        <w:rPr>
          <w:b/>
          <w:bCs/>
          <w:sz w:val="30"/>
          <w:szCs w:val="30"/>
        </w:rPr>
      </w:pPr>
      <w:r>
        <w:rPr>
          <w:rFonts w:hint="eastAsia"/>
          <w:b/>
          <w:bCs/>
          <w:sz w:val="30"/>
          <w:szCs w:val="30"/>
        </w:rPr>
        <w:t>基金管理人：安信基金</w:t>
      </w:r>
      <w:r>
        <w:rPr>
          <w:b/>
          <w:bCs/>
          <w:sz w:val="30"/>
          <w:szCs w:val="30"/>
        </w:rPr>
        <w:t>管理有限责任公司</w:t>
      </w:r>
    </w:p>
    <w:p w14:paraId="6344C6F0" w14:textId="77777777" w:rsidR="00255B24" w:rsidRDefault="00F94547">
      <w:pPr>
        <w:jc w:val="center"/>
        <w:rPr>
          <w:b/>
          <w:bCs/>
          <w:sz w:val="30"/>
          <w:szCs w:val="30"/>
        </w:rPr>
      </w:pPr>
      <w:r>
        <w:rPr>
          <w:rFonts w:hint="eastAsia"/>
          <w:b/>
          <w:bCs/>
          <w:sz w:val="30"/>
          <w:szCs w:val="30"/>
        </w:rPr>
        <w:t>基金托管人：中国建设银行股份有限公司</w:t>
      </w:r>
    </w:p>
    <w:p w14:paraId="6090DFD8" w14:textId="77777777" w:rsidR="00255B24" w:rsidRDefault="00255B24"/>
    <w:p w14:paraId="30E84892" w14:textId="77777777" w:rsidR="00255B24" w:rsidRDefault="00255B24"/>
    <w:p w14:paraId="5A34E07B" w14:textId="77777777" w:rsidR="00255B24" w:rsidRDefault="00255B24"/>
    <w:p w14:paraId="3994A78D" w14:textId="77777777" w:rsidR="00255B24" w:rsidRDefault="00255B24"/>
    <w:p w14:paraId="16EC9009" w14:textId="77777777" w:rsidR="00255B24" w:rsidRDefault="00255B24"/>
    <w:p w14:paraId="0C5E6B82" w14:textId="4DDD0691" w:rsidR="00255B24" w:rsidRDefault="00F94547">
      <w:pPr>
        <w:jc w:val="center"/>
        <w:rPr>
          <w:sz w:val="28"/>
          <w:szCs w:val="28"/>
        </w:rPr>
      </w:pPr>
      <w:r>
        <w:rPr>
          <w:rFonts w:hint="eastAsia"/>
          <w:sz w:val="28"/>
          <w:szCs w:val="28"/>
        </w:rPr>
        <w:t>二零二</w:t>
      </w:r>
      <w:r w:rsidR="007772D2">
        <w:rPr>
          <w:rFonts w:hint="eastAsia"/>
          <w:sz w:val="28"/>
          <w:szCs w:val="28"/>
        </w:rPr>
        <w:t>三</w:t>
      </w:r>
      <w:r>
        <w:rPr>
          <w:rFonts w:hint="eastAsia"/>
          <w:sz w:val="28"/>
          <w:szCs w:val="28"/>
        </w:rPr>
        <w:t>年</w:t>
      </w:r>
      <w:r w:rsidR="007772D2">
        <w:rPr>
          <w:rFonts w:hint="eastAsia"/>
          <w:sz w:val="28"/>
          <w:szCs w:val="28"/>
        </w:rPr>
        <w:t>四</w:t>
      </w:r>
      <w:r>
        <w:rPr>
          <w:rFonts w:hint="eastAsia"/>
          <w:sz w:val="28"/>
          <w:szCs w:val="28"/>
        </w:rPr>
        <w:t>月</w:t>
      </w:r>
    </w:p>
    <w:p w14:paraId="1D4F2395" w14:textId="77777777" w:rsidR="00255B24" w:rsidRDefault="00255B24"/>
    <w:p w14:paraId="0014DE4E" w14:textId="77777777" w:rsidR="00255B24" w:rsidRDefault="00255B24"/>
    <w:p w14:paraId="3BA0FB47" w14:textId="77777777" w:rsidR="00255B24" w:rsidRDefault="00255B24"/>
    <w:p w14:paraId="29D49B54" w14:textId="77777777" w:rsidR="00255B24" w:rsidRDefault="00255B24"/>
    <w:p w14:paraId="793A84EE" w14:textId="77777777" w:rsidR="007B21C2" w:rsidRDefault="007B21C2">
      <w:pPr>
        <w:adjustRightInd w:val="0"/>
        <w:snapToGrid w:val="0"/>
        <w:spacing w:line="360" w:lineRule="auto"/>
        <w:jc w:val="center"/>
        <w:rPr>
          <w:rFonts w:ascii="宋体" w:hAnsi="宋体" w:cs="Arial"/>
          <w:bCs/>
          <w:sz w:val="24"/>
        </w:rPr>
        <w:sectPr w:rsidR="007B21C2" w:rsidSect="001E71B9">
          <w:footerReference w:type="even" r:id="rId7"/>
          <w:footerReference w:type="default" r:id="rId8"/>
          <w:pgSz w:w="11906" w:h="16838"/>
          <w:pgMar w:top="1418" w:right="1701" w:bottom="1418" w:left="1701" w:header="851" w:footer="992" w:gutter="0"/>
          <w:cols w:space="720"/>
          <w:titlePg/>
          <w:docGrid w:type="lines" w:linePitch="312"/>
        </w:sectPr>
      </w:pPr>
    </w:p>
    <w:p w14:paraId="0E30B00C" w14:textId="77777777" w:rsidR="00255B24" w:rsidRDefault="00255B24">
      <w:pPr>
        <w:adjustRightInd w:val="0"/>
        <w:snapToGrid w:val="0"/>
        <w:spacing w:line="360" w:lineRule="auto"/>
        <w:rPr>
          <w:rFonts w:ascii="宋体" w:hAnsi="宋体" w:cs="Arial"/>
          <w:bCs/>
          <w:sz w:val="24"/>
        </w:rPr>
      </w:pPr>
    </w:p>
    <w:p w14:paraId="7CDE730E" w14:textId="77777777" w:rsidR="00255B24" w:rsidRDefault="00F94547">
      <w:pPr>
        <w:spacing w:line="360" w:lineRule="auto"/>
        <w:jc w:val="center"/>
        <w:rPr>
          <w:rFonts w:ascii="宋体" w:hAnsi="宋体"/>
          <w:b/>
          <w:bCs/>
          <w:sz w:val="30"/>
        </w:rPr>
      </w:pPr>
      <w:r>
        <w:rPr>
          <w:rFonts w:ascii="宋体" w:hAnsi="宋体" w:hint="eastAsia"/>
          <w:b/>
          <w:bCs/>
          <w:sz w:val="30"/>
        </w:rPr>
        <w:t>目    录</w:t>
      </w:r>
    </w:p>
    <w:p w14:paraId="511AF372" w14:textId="77777777" w:rsidR="00255B24" w:rsidRDefault="00255B24">
      <w:pPr>
        <w:spacing w:line="360" w:lineRule="auto"/>
        <w:jc w:val="center"/>
        <w:rPr>
          <w:rFonts w:ascii="宋体" w:hAnsi="宋体"/>
          <w:b/>
          <w:bCs/>
          <w:sz w:val="30"/>
        </w:rPr>
      </w:pPr>
    </w:p>
    <w:p w14:paraId="11FA2D0A" w14:textId="6413142A" w:rsidR="00255B24" w:rsidRDefault="00F94547">
      <w:pPr>
        <w:pStyle w:val="TOC2"/>
        <w:tabs>
          <w:tab w:val="right" w:leader="dot" w:pos="8494"/>
        </w:tabs>
        <w:spacing w:line="360" w:lineRule="auto"/>
        <w:rPr>
          <w:rFonts w:ascii="宋体" w:hAnsi="宋体" w:cstheme="minorBidi"/>
          <w:noProof/>
          <w:sz w:val="24"/>
        </w:rPr>
      </w:pPr>
      <w:r>
        <w:rPr>
          <w:rFonts w:ascii="宋体" w:hAnsi="宋体" w:cs="Arial" w:hint="eastAsia"/>
          <w:kern w:val="0"/>
          <w:sz w:val="24"/>
        </w:rPr>
        <w:fldChar w:fldCharType="begin"/>
      </w:r>
      <w:r>
        <w:rPr>
          <w:rFonts w:ascii="宋体" w:hAnsi="宋体" w:cs="Arial" w:hint="eastAsia"/>
          <w:kern w:val="0"/>
          <w:sz w:val="24"/>
        </w:rPr>
        <w:instrText xml:space="preserve"> TOC \o "1-2" \h \z </w:instrText>
      </w:r>
      <w:r>
        <w:rPr>
          <w:rFonts w:ascii="宋体" w:hAnsi="宋体" w:cs="Arial" w:hint="eastAsia"/>
          <w:kern w:val="0"/>
          <w:sz w:val="24"/>
        </w:rPr>
        <w:fldChar w:fldCharType="separate"/>
      </w:r>
      <w:hyperlink w:anchor="_Toc114149839" w:history="1">
        <w:r>
          <w:rPr>
            <w:rStyle w:val="af6"/>
            <w:rFonts w:ascii="宋体" w:hAnsi="宋体"/>
            <w:noProof/>
            <w:sz w:val="24"/>
          </w:rPr>
          <w:t>一、基金托管协议当事人</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_Toc114149839 \h </w:instrText>
        </w:r>
        <w:r>
          <w:rPr>
            <w:rFonts w:ascii="宋体" w:hAnsi="宋体"/>
            <w:noProof/>
            <w:sz w:val="24"/>
          </w:rPr>
        </w:r>
        <w:r>
          <w:rPr>
            <w:rFonts w:ascii="宋体" w:hAnsi="宋体"/>
            <w:noProof/>
            <w:sz w:val="24"/>
          </w:rPr>
          <w:fldChar w:fldCharType="separate"/>
        </w:r>
        <w:r w:rsidR="001E71B9">
          <w:rPr>
            <w:rFonts w:ascii="宋体" w:hAnsi="宋体"/>
            <w:noProof/>
            <w:sz w:val="24"/>
          </w:rPr>
          <w:t>3</w:t>
        </w:r>
        <w:r>
          <w:rPr>
            <w:rFonts w:ascii="宋体" w:hAnsi="宋体"/>
            <w:noProof/>
            <w:sz w:val="24"/>
          </w:rPr>
          <w:fldChar w:fldCharType="end"/>
        </w:r>
      </w:hyperlink>
    </w:p>
    <w:p w14:paraId="459E9D31" w14:textId="4AF98C76" w:rsidR="00255B24" w:rsidRDefault="00000000">
      <w:pPr>
        <w:pStyle w:val="TOC2"/>
        <w:tabs>
          <w:tab w:val="right" w:leader="dot" w:pos="8494"/>
        </w:tabs>
        <w:spacing w:line="360" w:lineRule="auto"/>
        <w:rPr>
          <w:rFonts w:ascii="宋体" w:hAnsi="宋体" w:cstheme="minorBidi"/>
          <w:noProof/>
          <w:sz w:val="24"/>
        </w:rPr>
      </w:pPr>
      <w:hyperlink w:anchor="_Toc114149840" w:history="1">
        <w:r w:rsidR="00F94547">
          <w:rPr>
            <w:rStyle w:val="af6"/>
            <w:rFonts w:ascii="宋体" w:hAnsi="宋体"/>
            <w:noProof/>
            <w:sz w:val="24"/>
          </w:rPr>
          <w:t>二、基金托管协议的依据、目的和原则</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_Toc114149840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5</w:t>
        </w:r>
        <w:r w:rsidR="00F94547">
          <w:rPr>
            <w:rFonts w:ascii="宋体" w:hAnsi="宋体"/>
            <w:noProof/>
            <w:sz w:val="24"/>
          </w:rPr>
          <w:fldChar w:fldCharType="end"/>
        </w:r>
      </w:hyperlink>
    </w:p>
    <w:p w14:paraId="7101425B" w14:textId="628E78B6" w:rsidR="00255B24" w:rsidRDefault="00000000">
      <w:pPr>
        <w:pStyle w:val="TOC2"/>
        <w:tabs>
          <w:tab w:val="right" w:leader="dot" w:pos="8494"/>
        </w:tabs>
        <w:spacing w:line="360" w:lineRule="auto"/>
        <w:rPr>
          <w:rFonts w:ascii="宋体" w:hAnsi="宋体" w:cstheme="minorBidi"/>
          <w:noProof/>
          <w:sz w:val="24"/>
        </w:rPr>
      </w:pPr>
      <w:hyperlink w:anchor="_Toc114149841" w:history="1">
        <w:r w:rsidR="00F94547">
          <w:rPr>
            <w:rStyle w:val="af6"/>
            <w:rFonts w:ascii="宋体" w:hAnsi="宋体"/>
            <w:noProof/>
            <w:sz w:val="24"/>
          </w:rPr>
          <w:t>三、基金托管人对基金管理人的业务监督和核查</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_Toc114149841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6</w:t>
        </w:r>
        <w:r w:rsidR="00F94547">
          <w:rPr>
            <w:rFonts w:ascii="宋体" w:hAnsi="宋体"/>
            <w:noProof/>
            <w:sz w:val="24"/>
          </w:rPr>
          <w:fldChar w:fldCharType="end"/>
        </w:r>
      </w:hyperlink>
    </w:p>
    <w:p w14:paraId="585B89EE" w14:textId="0EB9C2E6" w:rsidR="00255B24" w:rsidRDefault="00000000">
      <w:pPr>
        <w:pStyle w:val="TOC2"/>
        <w:tabs>
          <w:tab w:val="right" w:leader="dot" w:pos="8494"/>
        </w:tabs>
        <w:spacing w:line="360" w:lineRule="auto"/>
        <w:rPr>
          <w:rFonts w:ascii="宋体" w:hAnsi="宋体" w:cstheme="minorBidi"/>
          <w:noProof/>
          <w:sz w:val="24"/>
        </w:rPr>
      </w:pPr>
      <w:hyperlink w:anchor="_Toc114149842" w:history="1">
        <w:r w:rsidR="00F94547">
          <w:rPr>
            <w:rStyle w:val="af6"/>
            <w:rFonts w:ascii="宋体" w:hAnsi="宋体"/>
            <w:noProof/>
            <w:sz w:val="24"/>
          </w:rPr>
          <w:t>四、基金管理人对基金托管人的业务核查</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_Toc114149842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14</w:t>
        </w:r>
        <w:r w:rsidR="00F94547">
          <w:rPr>
            <w:rFonts w:ascii="宋体" w:hAnsi="宋体"/>
            <w:noProof/>
            <w:sz w:val="24"/>
          </w:rPr>
          <w:fldChar w:fldCharType="end"/>
        </w:r>
      </w:hyperlink>
    </w:p>
    <w:p w14:paraId="4AC74674" w14:textId="0776B0CC" w:rsidR="00255B24" w:rsidRDefault="00000000">
      <w:pPr>
        <w:pStyle w:val="TOC2"/>
        <w:tabs>
          <w:tab w:val="right" w:leader="dot" w:pos="8494"/>
        </w:tabs>
        <w:spacing w:line="360" w:lineRule="auto"/>
        <w:rPr>
          <w:rFonts w:ascii="宋体" w:hAnsi="宋体" w:cstheme="minorBidi"/>
          <w:noProof/>
          <w:sz w:val="24"/>
        </w:rPr>
      </w:pPr>
      <w:hyperlink w:anchor="_Toc114149843" w:history="1">
        <w:r w:rsidR="00F94547">
          <w:rPr>
            <w:rStyle w:val="af6"/>
            <w:rFonts w:ascii="宋体" w:hAnsi="宋体"/>
            <w:noProof/>
            <w:sz w:val="24"/>
          </w:rPr>
          <w:t>五、基金财产的保管</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_Toc114149843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15</w:t>
        </w:r>
        <w:r w:rsidR="00F94547">
          <w:rPr>
            <w:rFonts w:ascii="宋体" w:hAnsi="宋体"/>
            <w:noProof/>
            <w:sz w:val="24"/>
          </w:rPr>
          <w:fldChar w:fldCharType="end"/>
        </w:r>
      </w:hyperlink>
    </w:p>
    <w:p w14:paraId="59E6A58F" w14:textId="6F694145" w:rsidR="00255B24" w:rsidRDefault="00000000">
      <w:pPr>
        <w:pStyle w:val="TOC2"/>
        <w:tabs>
          <w:tab w:val="right" w:leader="dot" w:pos="8494"/>
        </w:tabs>
        <w:spacing w:line="360" w:lineRule="auto"/>
        <w:rPr>
          <w:rFonts w:ascii="宋体" w:hAnsi="宋体" w:cstheme="minorBidi"/>
          <w:noProof/>
          <w:sz w:val="24"/>
        </w:rPr>
      </w:pPr>
      <w:hyperlink w:anchor="_Toc114149844" w:history="1">
        <w:r w:rsidR="00F94547">
          <w:rPr>
            <w:rStyle w:val="af6"/>
            <w:rFonts w:ascii="宋体" w:hAnsi="宋体"/>
            <w:noProof/>
            <w:sz w:val="24"/>
          </w:rPr>
          <w:t>六、指令的发送、确认及执行</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_Toc114149844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19</w:t>
        </w:r>
        <w:r w:rsidR="00F94547">
          <w:rPr>
            <w:rFonts w:ascii="宋体" w:hAnsi="宋体"/>
            <w:noProof/>
            <w:sz w:val="24"/>
          </w:rPr>
          <w:fldChar w:fldCharType="end"/>
        </w:r>
      </w:hyperlink>
    </w:p>
    <w:p w14:paraId="006A3B7D" w14:textId="33F9F8FE" w:rsidR="00255B24" w:rsidRDefault="00000000">
      <w:pPr>
        <w:pStyle w:val="TOC2"/>
        <w:tabs>
          <w:tab w:val="right" w:leader="dot" w:pos="8494"/>
        </w:tabs>
        <w:spacing w:line="360" w:lineRule="auto"/>
        <w:rPr>
          <w:rFonts w:ascii="宋体" w:hAnsi="宋体" w:cstheme="minorBidi"/>
          <w:noProof/>
          <w:sz w:val="24"/>
        </w:rPr>
      </w:pPr>
      <w:hyperlink w:anchor="_Toc114149845" w:history="1">
        <w:r w:rsidR="00F94547">
          <w:rPr>
            <w:rStyle w:val="af6"/>
            <w:rFonts w:ascii="宋体" w:hAnsi="宋体"/>
            <w:noProof/>
            <w:sz w:val="24"/>
          </w:rPr>
          <w:t>七、交易及清算交收安排</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_Toc114149845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22</w:t>
        </w:r>
        <w:r w:rsidR="00F94547">
          <w:rPr>
            <w:rFonts w:ascii="宋体" w:hAnsi="宋体"/>
            <w:noProof/>
            <w:sz w:val="24"/>
          </w:rPr>
          <w:fldChar w:fldCharType="end"/>
        </w:r>
      </w:hyperlink>
    </w:p>
    <w:p w14:paraId="0678EA67" w14:textId="17D1E4BE" w:rsidR="00255B24" w:rsidRDefault="00000000">
      <w:pPr>
        <w:pStyle w:val="TOC2"/>
        <w:tabs>
          <w:tab w:val="right" w:leader="dot" w:pos="8494"/>
        </w:tabs>
        <w:spacing w:line="360" w:lineRule="auto"/>
        <w:rPr>
          <w:rFonts w:ascii="宋体" w:hAnsi="宋体" w:cstheme="minorBidi"/>
          <w:noProof/>
          <w:sz w:val="24"/>
        </w:rPr>
      </w:pPr>
      <w:hyperlink w:anchor="_Toc114149846" w:history="1">
        <w:r w:rsidR="00F94547">
          <w:rPr>
            <w:rStyle w:val="af6"/>
            <w:rFonts w:ascii="宋体" w:hAnsi="宋体"/>
            <w:noProof/>
            <w:sz w:val="24"/>
          </w:rPr>
          <w:t>八、基金资产净值计算和会计核算</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_Toc114149846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28</w:t>
        </w:r>
        <w:r w:rsidR="00F94547">
          <w:rPr>
            <w:rFonts w:ascii="宋体" w:hAnsi="宋体"/>
            <w:noProof/>
            <w:sz w:val="24"/>
          </w:rPr>
          <w:fldChar w:fldCharType="end"/>
        </w:r>
      </w:hyperlink>
    </w:p>
    <w:p w14:paraId="67C5298A" w14:textId="6A4116E7" w:rsidR="00255B24" w:rsidRDefault="00000000">
      <w:pPr>
        <w:pStyle w:val="TOC2"/>
        <w:tabs>
          <w:tab w:val="right" w:leader="dot" w:pos="8494"/>
        </w:tabs>
        <w:spacing w:line="360" w:lineRule="auto"/>
        <w:rPr>
          <w:rFonts w:ascii="宋体" w:hAnsi="宋体" w:cstheme="minorBidi"/>
          <w:noProof/>
          <w:sz w:val="24"/>
        </w:rPr>
      </w:pPr>
      <w:hyperlink w:anchor="_Toc114149847" w:history="1">
        <w:r w:rsidR="00F94547">
          <w:rPr>
            <w:rStyle w:val="af6"/>
            <w:rFonts w:ascii="宋体" w:hAnsi="宋体"/>
            <w:noProof/>
            <w:sz w:val="24"/>
          </w:rPr>
          <w:t>九、基金收益分配</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_Toc114149847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35</w:t>
        </w:r>
        <w:r w:rsidR="00F94547">
          <w:rPr>
            <w:rFonts w:ascii="宋体" w:hAnsi="宋体"/>
            <w:noProof/>
            <w:sz w:val="24"/>
          </w:rPr>
          <w:fldChar w:fldCharType="end"/>
        </w:r>
      </w:hyperlink>
    </w:p>
    <w:p w14:paraId="11D77A58" w14:textId="5E187980" w:rsidR="00255B24" w:rsidRDefault="00000000">
      <w:pPr>
        <w:pStyle w:val="TOC2"/>
        <w:tabs>
          <w:tab w:val="right" w:leader="dot" w:pos="8494"/>
        </w:tabs>
        <w:spacing w:line="360" w:lineRule="auto"/>
        <w:rPr>
          <w:rFonts w:ascii="宋体" w:hAnsi="宋体" w:cstheme="minorBidi"/>
          <w:noProof/>
          <w:sz w:val="24"/>
        </w:rPr>
      </w:pPr>
      <w:hyperlink w:anchor="_Toc114149848" w:history="1">
        <w:r w:rsidR="00F94547">
          <w:rPr>
            <w:rStyle w:val="af6"/>
            <w:rFonts w:ascii="宋体" w:hAnsi="宋体"/>
            <w:noProof/>
            <w:sz w:val="24"/>
          </w:rPr>
          <w:t>十、基金信息披露</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_Toc114149848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36</w:t>
        </w:r>
        <w:r w:rsidR="00F94547">
          <w:rPr>
            <w:rFonts w:ascii="宋体" w:hAnsi="宋体"/>
            <w:noProof/>
            <w:sz w:val="24"/>
          </w:rPr>
          <w:fldChar w:fldCharType="end"/>
        </w:r>
      </w:hyperlink>
    </w:p>
    <w:p w14:paraId="127D4914" w14:textId="6BFA1EAE" w:rsidR="00255B24" w:rsidRDefault="00000000">
      <w:pPr>
        <w:pStyle w:val="TOC2"/>
        <w:tabs>
          <w:tab w:val="right" w:leader="dot" w:pos="8494"/>
        </w:tabs>
        <w:spacing w:line="360" w:lineRule="auto"/>
        <w:rPr>
          <w:rFonts w:ascii="宋体" w:hAnsi="宋体" w:cstheme="minorBidi"/>
          <w:noProof/>
          <w:sz w:val="24"/>
        </w:rPr>
      </w:pPr>
      <w:hyperlink w:anchor="_Toc114149849" w:history="1">
        <w:r w:rsidR="00F94547">
          <w:rPr>
            <w:rStyle w:val="af6"/>
            <w:rFonts w:ascii="宋体" w:hAnsi="宋体"/>
            <w:noProof/>
            <w:sz w:val="24"/>
          </w:rPr>
          <w:t>十一、基金费用</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_Toc114149849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38</w:t>
        </w:r>
        <w:r w:rsidR="00F94547">
          <w:rPr>
            <w:rFonts w:ascii="宋体" w:hAnsi="宋体"/>
            <w:noProof/>
            <w:sz w:val="24"/>
          </w:rPr>
          <w:fldChar w:fldCharType="end"/>
        </w:r>
      </w:hyperlink>
    </w:p>
    <w:p w14:paraId="6B694633" w14:textId="7577EAB9" w:rsidR="00255B24" w:rsidRDefault="00000000">
      <w:pPr>
        <w:pStyle w:val="TOC2"/>
        <w:tabs>
          <w:tab w:val="right" w:leader="dot" w:pos="8494"/>
        </w:tabs>
        <w:spacing w:line="360" w:lineRule="auto"/>
        <w:rPr>
          <w:rFonts w:ascii="宋体" w:hAnsi="宋体" w:cstheme="minorBidi"/>
          <w:noProof/>
          <w:sz w:val="24"/>
        </w:rPr>
      </w:pPr>
      <w:hyperlink w:anchor="_Toc114149850" w:history="1">
        <w:r w:rsidR="00F94547">
          <w:rPr>
            <w:rStyle w:val="af6"/>
            <w:rFonts w:ascii="宋体" w:hAnsi="宋体"/>
            <w:noProof/>
            <w:sz w:val="24"/>
          </w:rPr>
          <w:t>十二、基金份额持有人名册的保管</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_Toc114149850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40</w:t>
        </w:r>
        <w:r w:rsidR="00F94547">
          <w:rPr>
            <w:rFonts w:ascii="宋体" w:hAnsi="宋体"/>
            <w:noProof/>
            <w:sz w:val="24"/>
          </w:rPr>
          <w:fldChar w:fldCharType="end"/>
        </w:r>
      </w:hyperlink>
    </w:p>
    <w:p w14:paraId="40B70CBC" w14:textId="1474C29B" w:rsidR="00255B24" w:rsidRDefault="00000000">
      <w:pPr>
        <w:pStyle w:val="TOC2"/>
        <w:tabs>
          <w:tab w:val="right" w:leader="dot" w:pos="8494"/>
        </w:tabs>
        <w:spacing w:line="360" w:lineRule="auto"/>
        <w:rPr>
          <w:rFonts w:ascii="宋体" w:hAnsi="宋体" w:cstheme="minorBidi"/>
          <w:noProof/>
          <w:sz w:val="24"/>
        </w:rPr>
      </w:pPr>
      <w:hyperlink w:anchor="_Toc114149851" w:history="1">
        <w:r w:rsidR="00F94547">
          <w:rPr>
            <w:rStyle w:val="af6"/>
            <w:rFonts w:ascii="宋体" w:hAnsi="宋体"/>
            <w:noProof/>
            <w:sz w:val="24"/>
          </w:rPr>
          <w:t>十三、基金有关文件档案的保存</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_Toc114149851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41</w:t>
        </w:r>
        <w:r w:rsidR="00F94547">
          <w:rPr>
            <w:rFonts w:ascii="宋体" w:hAnsi="宋体"/>
            <w:noProof/>
            <w:sz w:val="24"/>
          </w:rPr>
          <w:fldChar w:fldCharType="end"/>
        </w:r>
      </w:hyperlink>
    </w:p>
    <w:p w14:paraId="49706C07" w14:textId="5E5A7079" w:rsidR="00255B24" w:rsidRDefault="00000000">
      <w:pPr>
        <w:pStyle w:val="TOC2"/>
        <w:tabs>
          <w:tab w:val="right" w:leader="dot" w:pos="8494"/>
        </w:tabs>
        <w:spacing w:line="360" w:lineRule="auto"/>
        <w:rPr>
          <w:rFonts w:ascii="宋体" w:hAnsi="宋体" w:cstheme="minorBidi"/>
          <w:noProof/>
          <w:sz w:val="24"/>
        </w:rPr>
      </w:pPr>
      <w:hyperlink w:anchor="_Toc114149852" w:history="1">
        <w:r w:rsidR="00F94547">
          <w:rPr>
            <w:rStyle w:val="af6"/>
            <w:rFonts w:ascii="宋体" w:hAnsi="宋体"/>
            <w:noProof/>
            <w:sz w:val="24"/>
          </w:rPr>
          <w:t>十四、基金管理人和基金托管人的更换</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_Toc114149852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42</w:t>
        </w:r>
        <w:r w:rsidR="00F94547">
          <w:rPr>
            <w:rFonts w:ascii="宋体" w:hAnsi="宋体"/>
            <w:noProof/>
            <w:sz w:val="24"/>
          </w:rPr>
          <w:fldChar w:fldCharType="end"/>
        </w:r>
      </w:hyperlink>
    </w:p>
    <w:p w14:paraId="78ED1950" w14:textId="4E99CCB0" w:rsidR="00255B24" w:rsidRDefault="00000000">
      <w:pPr>
        <w:pStyle w:val="TOC2"/>
        <w:tabs>
          <w:tab w:val="right" w:leader="dot" w:pos="8494"/>
        </w:tabs>
        <w:spacing w:line="360" w:lineRule="auto"/>
        <w:rPr>
          <w:rFonts w:ascii="宋体" w:hAnsi="宋体" w:cstheme="minorBidi"/>
          <w:noProof/>
          <w:sz w:val="24"/>
        </w:rPr>
      </w:pPr>
      <w:hyperlink w:anchor="_Toc114149853" w:history="1">
        <w:r w:rsidR="00F94547">
          <w:rPr>
            <w:rStyle w:val="af6"/>
            <w:rFonts w:ascii="宋体" w:hAnsi="宋体"/>
            <w:noProof/>
            <w:sz w:val="24"/>
          </w:rPr>
          <w:t>十五、禁止行为</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_Toc114149853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45</w:t>
        </w:r>
        <w:r w:rsidR="00F94547">
          <w:rPr>
            <w:rFonts w:ascii="宋体" w:hAnsi="宋体"/>
            <w:noProof/>
            <w:sz w:val="24"/>
          </w:rPr>
          <w:fldChar w:fldCharType="end"/>
        </w:r>
      </w:hyperlink>
    </w:p>
    <w:p w14:paraId="3AF10AEC" w14:textId="7D4E6A01" w:rsidR="00255B24" w:rsidRDefault="00000000">
      <w:pPr>
        <w:pStyle w:val="TOC2"/>
        <w:tabs>
          <w:tab w:val="right" w:leader="dot" w:pos="8494"/>
        </w:tabs>
        <w:spacing w:line="360" w:lineRule="auto"/>
        <w:rPr>
          <w:rFonts w:ascii="宋体" w:hAnsi="宋体" w:cstheme="minorBidi"/>
          <w:noProof/>
          <w:sz w:val="24"/>
        </w:rPr>
      </w:pPr>
      <w:hyperlink w:anchor="_Toc114149854" w:history="1">
        <w:r w:rsidR="00F94547">
          <w:rPr>
            <w:rStyle w:val="af6"/>
            <w:rFonts w:ascii="宋体" w:hAnsi="宋体"/>
            <w:noProof/>
            <w:sz w:val="24"/>
          </w:rPr>
          <w:t>十六、托管协议的变更、终止与基金财产的清算</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_Toc114149854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46</w:t>
        </w:r>
        <w:r w:rsidR="00F94547">
          <w:rPr>
            <w:rFonts w:ascii="宋体" w:hAnsi="宋体"/>
            <w:noProof/>
            <w:sz w:val="24"/>
          </w:rPr>
          <w:fldChar w:fldCharType="end"/>
        </w:r>
      </w:hyperlink>
    </w:p>
    <w:p w14:paraId="4C3CD920" w14:textId="4445A20C" w:rsidR="00255B24" w:rsidRDefault="00000000">
      <w:pPr>
        <w:pStyle w:val="TOC2"/>
        <w:tabs>
          <w:tab w:val="right" w:leader="dot" w:pos="8494"/>
        </w:tabs>
        <w:spacing w:line="360" w:lineRule="auto"/>
        <w:rPr>
          <w:rFonts w:ascii="宋体" w:hAnsi="宋体" w:cstheme="minorBidi"/>
          <w:noProof/>
          <w:sz w:val="24"/>
        </w:rPr>
      </w:pPr>
      <w:hyperlink w:anchor="_Toc114149855" w:history="1">
        <w:r w:rsidR="00F94547">
          <w:rPr>
            <w:rStyle w:val="af6"/>
            <w:rFonts w:ascii="宋体" w:hAnsi="宋体"/>
            <w:noProof/>
            <w:sz w:val="24"/>
          </w:rPr>
          <w:t>十七、违约责任</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_Toc114149855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48</w:t>
        </w:r>
        <w:r w:rsidR="00F94547">
          <w:rPr>
            <w:rFonts w:ascii="宋体" w:hAnsi="宋体"/>
            <w:noProof/>
            <w:sz w:val="24"/>
          </w:rPr>
          <w:fldChar w:fldCharType="end"/>
        </w:r>
      </w:hyperlink>
    </w:p>
    <w:p w14:paraId="55626ED9" w14:textId="3E667F99" w:rsidR="00255B24" w:rsidRDefault="00000000">
      <w:pPr>
        <w:pStyle w:val="TOC2"/>
        <w:tabs>
          <w:tab w:val="right" w:leader="dot" w:pos="8494"/>
        </w:tabs>
        <w:spacing w:line="360" w:lineRule="auto"/>
        <w:rPr>
          <w:rFonts w:ascii="宋体" w:hAnsi="宋体" w:cstheme="minorBidi"/>
          <w:noProof/>
          <w:sz w:val="24"/>
        </w:rPr>
      </w:pPr>
      <w:hyperlink w:anchor="_Toc114149856" w:history="1">
        <w:r w:rsidR="00F94547">
          <w:rPr>
            <w:rStyle w:val="af6"/>
            <w:rFonts w:ascii="宋体" w:hAnsi="宋体"/>
            <w:noProof/>
            <w:sz w:val="24"/>
          </w:rPr>
          <w:t>十八、争议解决方式</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_Toc114149856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49</w:t>
        </w:r>
        <w:r w:rsidR="00F94547">
          <w:rPr>
            <w:rFonts w:ascii="宋体" w:hAnsi="宋体"/>
            <w:noProof/>
            <w:sz w:val="24"/>
          </w:rPr>
          <w:fldChar w:fldCharType="end"/>
        </w:r>
      </w:hyperlink>
    </w:p>
    <w:p w14:paraId="3C436CF3" w14:textId="7D39F73B" w:rsidR="00255B24" w:rsidRDefault="00000000">
      <w:pPr>
        <w:pStyle w:val="TOC2"/>
        <w:tabs>
          <w:tab w:val="right" w:leader="dot" w:pos="8494"/>
        </w:tabs>
        <w:spacing w:line="360" w:lineRule="auto"/>
        <w:rPr>
          <w:rFonts w:ascii="宋体" w:hAnsi="宋体" w:cstheme="minorBidi"/>
          <w:noProof/>
          <w:sz w:val="24"/>
        </w:rPr>
      </w:pPr>
      <w:hyperlink w:anchor="_Toc114149857" w:history="1">
        <w:r w:rsidR="00F94547">
          <w:rPr>
            <w:rStyle w:val="af6"/>
            <w:rFonts w:ascii="宋体" w:hAnsi="宋体"/>
            <w:noProof/>
            <w:sz w:val="24"/>
          </w:rPr>
          <w:t>十九、托管协议的效力</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_Toc114149857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50</w:t>
        </w:r>
        <w:r w:rsidR="00F94547">
          <w:rPr>
            <w:rFonts w:ascii="宋体" w:hAnsi="宋体"/>
            <w:noProof/>
            <w:sz w:val="24"/>
          </w:rPr>
          <w:fldChar w:fldCharType="end"/>
        </w:r>
      </w:hyperlink>
    </w:p>
    <w:p w14:paraId="01B77242" w14:textId="33CE8CCB" w:rsidR="00255B24" w:rsidRDefault="00000000">
      <w:pPr>
        <w:pStyle w:val="TOC2"/>
        <w:tabs>
          <w:tab w:val="right" w:leader="dot" w:pos="8494"/>
        </w:tabs>
        <w:spacing w:line="360" w:lineRule="auto"/>
        <w:rPr>
          <w:rFonts w:ascii="宋体" w:hAnsi="宋体" w:cstheme="minorBidi"/>
          <w:noProof/>
          <w:sz w:val="24"/>
        </w:rPr>
      </w:pPr>
      <w:hyperlink w:anchor="_Toc114149858" w:history="1">
        <w:r w:rsidR="00F94547">
          <w:rPr>
            <w:rStyle w:val="af6"/>
            <w:rFonts w:ascii="宋体" w:hAnsi="宋体"/>
            <w:noProof/>
            <w:sz w:val="24"/>
          </w:rPr>
          <w:t>二十、其他事项</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_Toc114149858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51</w:t>
        </w:r>
        <w:r w:rsidR="00F94547">
          <w:rPr>
            <w:rFonts w:ascii="宋体" w:hAnsi="宋体"/>
            <w:noProof/>
            <w:sz w:val="24"/>
          </w:rPr>
          <w:fldChar w:fldCharType="end"/>
        </w:r>
      </w:hyperlink>
    </w:p>
    <w:p w14:paraId="75A7087E" w14:textId="15FC130D" w:rsidR="00255B24" w:rsidRDefault="00000000">
      <w:pPr>
        <w:pStyle w:val="TOC2"/>
        <w:tabs>
          <w:tab w:val="right" w:leader="dot" w:pos="8494"/>
        </w:tabs>
        <w:spacing w:line="360" w:lineRule="auto"/>
        <w:rPr>
          <w:rFonts w:ascii="宋体" w:hAnsi="宋体" w:cstheme="minorBidi"/>
          <w:noProof/>
          <w:sz w:val="24"/>
        </w:rPr>
      </w:pPr>
      <w:hyperlink w:anchor="_Toc114149859" w:history="1">
        <w:r w:rsidR="00F94547">
          <w:rPr>
            <w:rStyle w:val="af6"/>
            <w:rFonts w:ascii="宋体" w:hAnsi="宋体"/>
            <w:noProof/>
            <w:sz w:val="24"/>
          </w:rPr>
          <w:t>二十一、托管协议的签订</w:t>
        </w:r>
        <w:r w:rsidR="00F94547">
          <w:rPr>
            <w:rFonts w:ascii="宋体" w:hAnsi="宋体"/>
            <w:noProof/>
            <w:sz w:val="24"/>
          </w:rPr>
          <w:tab/>
        </w:r>
        <w:r w:rsidR="00F94547">
          <w:rPr>
            <w:rFonts w:ascii="宋体" w:hAnsi="宋体"/>
            <w:noProof/>
            <w:sz w:val="24"/>
          </w:rPr>
          <w:fldChar w:fldCharType="begin"/>
        </w:r>
        <w:r w:rsidR="00F94547">
          <w:rPr>
            <w:rFonts w:ascii="宋体" w:hAnsi="宋体"/>
            <w:noProof/>
            <w:sz w:val="24"/>
          </w:rPr>
          <w:instrText xml:space="preserve"> PAGEREF _Toc114149859 \h </w:instrText>
        </w:r>
        <w:r w:rsidR="00F94547">
          <w:rPr>
            <w:rFonts w:ascii="宋体" w:hAnsi="宋体"/>
            <w:noProof/>
            <w:sz w:val="24"/>
          </w:rPr>
        </w:r>
        <w:r w:rsidR="00F94547">
          <w:rPr>
            <w:rFonts w:ascii="宋体" w:hAnsi="宋体"/>
            <w:noProof/>
            <w:sz w:val="24"/>
          </w:rPr>
          <w:fldChar w:fldCharType="separate"/>
        </w:r>
        <w:r w:rsidR="001E71B9">
          <w:rPr>
            <w:rFonts w:ascii="宋体" w:hAnsi="宋体"/>
            <w:noProof/>
            <w:sz w:val="24"/>
          </w:rPr>
          <w:t>52</w:t>
        </w:r>
        <w:r w:rsidR="00F94547">
          <w:rPr>
            <w:rFonts w:ascii="宋体" w:hAnsi="宋体"/>
            <w:noProof/>
            <w:sz w:val="24"/>
          </w:rPr>
          <w:fldChar w:fldCharType="end"/>
        </w:r>
      </w:hyperlink>
    </w:p>
    <w:p w14:paraId="23FDC4A9" w14:textId="77777777" w:rsidR="00255B24" w:rsidRDefault="00F94547">
      <w:pPr>
        <w:spacing w:line="360" w:lineRule="auto"/>
        <w:rPr>
          <w:rFonts w:ascii="宋体" w:hAnsi="宋体"/>
          <w:sz w:val="28"/>
        </w:rPr>
      </w:pPr>
      <w:r>
        <w:rPr>
          <w:rFonts w:ascii="宋体" w:hAnsi="宋体" w:cs="Arial" w:hint="eastAsia"/>
          <w:kern w:val="0"/>
          <w:sz w:val="24"/>
        </w:rPr>
        <w:fldChar w:fldCharType="end"/>
      </w:r>
    </w:p>
    <w:p w14:paraId="596E4DC0" w14:textId="77777777" w:rsidR="00255B24" w:rsidRDefault="00F94547">
      <w:pPr>
        <w:spacing w:line="360" w:lineRule="auto"/>
        <w:rPr>
          <w:rFonts w:ascii="宋体" w:hAnsi="宋体"/>
          <w:sz w:val="24"/>
        </w:rPr>
      </w:pPr>
      <w:r>
        <w:rPr>
          <w:rFonts w:ascii="宋体" w:hAnsi="宋体"/>
          <w:sz w:val="28"/>
        </w:rPr>
        <w:br w:type="page"/>
      </w:r>
    </w:p>
    <w:p w14:paraId="77A9AE17" w14:textId="77777777" w:rsidR="00255B24" w:rsidRDefault="00F9454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鉴于安信基金管理有限责任公司系一家依照中国法律合法成立并有效存续的有限责任公司，按照相关法律法规的规定具备担任基金管理人的资格和能力，拟募集发行安</w:t>
      </w:r>
      <w:proofErr w:type="gramStart"/>
      <w:r>
        <w:rPr>
          <w:rFonts w:ascii="宋体" w:hAnsi="宋体" w:cs="Arial" w:hint="eastAsia"/>
          <w:kern w:val="0"/>
          <w:sz w:val="24"/>
        </w:rPr>
        <w:t>信数字</w:t>
      </w:r>
      <w:proofErr w:type="gramEnd"/>
      <w:r>
        <w:rPr>
          <w:rFonts w:ascii="宋体" w:hAnsi="宋体" w:cs="Arial" w:hint="eastAsia"/>
          <w:kern w:val="0"/>
          <w:sz w:val="24"/>
        </w:rPr>
        <w:t>经济股票型发起式证券投资基金；</w:t>
      </w:r>
    </w:p>
    <w:p w14:paraId="4388A569" w14:textId="77777777" w:rsidR="00255B24" w:rsidRDefault="00F9454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6C3E8D20" w14:textId="77777777" w:rsidR="00255B24" w:rsidRDefault="00F9454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鉴于安信基金管理有限责任公司拟担任安</w:t>
      </w:r>
      <w:proofErr w:type="gramStart"/>
      <w:r>
        <w:rPr>
          <w:rFonts w:ascii="宋体" w:hAnsi="宋体" w:cs="Arial" w:hint="eastAsia"/>
          <w:kern w:val="0"/>
          <w:sz w:val="24"/>
        </w:rPr>
        <w:t>信数字</w:t>
      </w:r>
      <w:proofErr w:type="gramEnd"/>
      <w:r>
        <w:rPr>
          <w:rFonts w:ascii="宋体" w:hAnsi="宋体" w:cs="Arial" w:hint="eastAsia"/>
          <w:kern w:val="0"/>
          <w:sz w:val="24"/>
        </w:rPr>
        <w:t>经济股票型发起式证券投资基金的基金管理人，中国建设银行股份有限公司拟担任安</w:t>
      </w:r>
      <w:proofErr w:type="gramStart"/>
      <w:r>
        <w:rPr>
          <w:rFonts w:ascii="宋体" w:hAnsi="宋体" w:cs="Arial" w:hint="eastAsia"/>
          <w:kern w:val="0"/>
          <w:sz w:val="24"/>
        </w:rPr>
        <w:t>信数字</w:t>
      </w:r>
      <w:proofErr w:type="gramEnd"/>
      <w:r>
        <w:rPr>
          <w:rFonts w:ascii="宋体" w:hAnsi="宋体" w:cs="Arial" w:hint="eastAsia"/>
          <w:kern w:val="0"/>
          <w:sz w:val="24"/>
        </w:rPr>
        <w:t>经济股票型发起式证券投资基金的基金托管人；</w:t>
      </w:r>
    </w:p>
    <w:p w14:paraId="36B8F89D" w14:textId="77777777" w:rsidR="00255B24" w:rsidRDefault="00F9454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为</w:t>
      </w:r>
      <w:proofErr w:type="gramStart"/>
      <w:r>
        <w:rPr>
          <w:rFonts w:ascii="宋体" w:hAnsi="宋体" w:cs="Arial" w:hint="eastAsia"/>
          <w:kern w:val="0"/>
          <w:sz w:val="24"/>
        </w:rPr>
        <w:t>明确安信数字</w:t>
      </w:r>
      <w:proofErr w:type="gramEnd"/>
      <w:r>
        <w:rPr>
          <w:rFonts w:ascii="宋体" w:hAnsi="宋体" w:cs="Arial" w:hint="eastAsia"/>
          <w:kern w:val="0"/>
          <w:sz w:val="24"/>
        </w:rPr>
        <w:t>经济股票型发起式证券投资基金的基金管理人和基金托管人之间的权利义务关系，特制订本托管协议；</w:t>
      </w:r>
    </w:p>
    <w:p w14:paraId="71267FC4" w14:textId="77777777" w:rsidR="00255B24" w:rsidRDefault="00F94547">
      <w:pPr>
        <w:widowControl/>
        <w:adjustRightInd w:val="0"/>
        <w:snapToGrid w:val="0"/>
        <w:spacing w:line="360" w:lineRule="auto"/>
        <w:ind w:firstLineChars="200" w:firstLine="480"/>
        <w:rPr>
          <w:rFonts w:ascii="宋体" w:hAnsi="宋体" w:cs="Arial"/>
          <w:kern w:val="0"/>
          <w:sz w:val="24"/>
          <w:lang w:val="en-GB"/>
        </w:rPr>
      </w:pPr>
      <w:r>
        <w:rPr>
          <w:rFonts w:ascii="宋体" w:hAnsi="宋体" w:cs="Arial" w:hint="eastAsia"/>
          <w:kern w:val="0"/>
          <w:sz w:val="24"/>
          <w:lang w:val="en-GB"/>
        </w:rPr>
        <w:t>除非另有约定，《安信数字经济股票型发起式证券投资基金基金合同》(以下简称“基金合同”)中定义的术语在用于本托管协议时应具有相同的含义；若有抵触应以《基金合同》为准，并依其</w:t>
      </w:r>
      <w:r>
        <w:rPr>
          <w:rFonts w:ascii="宋体" w:hAnsi="宋体" w:cs="Arial" w:hint="eastAsia"/>
          <w:kern w:val="0"/>
          <w:sz w:val="24"/>
        </w:rPr>
        <w:t>条款</w:t>
      </w:r>
      <w:r>
        <w:rPr>
          <w:rFonts w:ascii="宋体" w:hAnsi="宋体" w:cs="Arial" w:hint="eastAsia"/>
          <w:kern w:val="0"/>
          <w:sz w:val="24"/>
          <w:lang w:val="en-GB"/>
        </w:rPr>
        <w:t>解释。</w:t>
      </w:r>
    </w:p>
    <w:p w14:paraId="6D006F25" w14:textId="77777777" w:rsidR="00255B24" w:rsidRDefault="00F94547">
      <w:pPr>
        <w:widowControl/>
        <w:jc w:val="left"/>
        <w:rPr>
          <w:rFonts w:ascii="宋体" w:hAnsi="宋体" w:cs="Arial"/>
          <w:kern w:val="0"/>
          <w:sz w:val="24"/>
          <w:lang w:val="en-GB"/>
        </w:rPr>
      </w:pPr>
      <w:r>
        <w:rPr>
          <w:rFonts w:ascii="宋体" w:hAnsi="宋体" w:cs="Arial"/>
          <w:kern w:val="0"/>
          <w:sz w:val="24"/>
          <w:lang w:val="en-GB"/>
        </w:rPr>
        <w:br w:type="page"/>
      </w:r>
    </w:p>
    <w:p w14:paraId="44B4E2D7" w14:textId="77777777" w:rsidR="00255B24" w:rsidRDefault="00F94547">
      <w:pPr>
        <w:pStyle w:val="2"/>
        <w:spacing w:before="0" w:after="0" w:line="360" w:lineRule="auto"/>
        <w:jc w:val="center"/>
        <w:rPr>
          <w:rFonts w:ascii="宋体" w:eastAsia="宋体" w:hAnsi="宋体"/>
        </w:rPr>
      </w:pPr>
      <w:bookmarkStart w:id="0" w:name="_Toc114149839"/>
      <w:r>
        <w:rPr>
          <w:rFonts w:ascii="宋体" w:eastAsia="宋体" w:hAnsi="宋体" w:hint="eastAsia"/>
        </w:rPr>
        <w:lastRenderedPageBreak/>
        <w:t>一、基金托管协议当事人</w:t>
      </w:r>
      <w:bookmarkEnd w:id="0"/>
    </w:p>
    <w:p w14:paraId="6A6F2A7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w:t>
      </w:r>
    </w:p>
    <w:p w14:paraId="45BC372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名称：安信基金管理有限责任公司</w:t>
      </w:r>
    </w:p>
    <w:p w14:paraId="609D721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注册地址：深圳市福田区莲花街道益田路6009号新世界商务中心36层</w:t>
      </w:r>
    </w:p>
    <w:p w14:paraId="132DE34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办公地址：深圳市福田区莲花街道益田路6009号新世界商务中心36层</w:t>
      </w:r>
    </w:p>
    <w:p w14:paraId="6274B9E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邮政编码：518026</w:t>
      </w:r>
    </w:p>
    <w:p w14:paraId="330C21E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法定代表人：刘入领</w:t>
      </w:r>
    </w:p>
    <w:p w14:paraId="737DEFC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成立日期：2011年12月6日</w:t>
      </w:r>
    </w:p>
    <w:p w14:paraId="4164F3C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批准设立机关及批准设立文号：中国证监会证监许可〔</w:t>
      </w:r>
      <w:r>
        <w:rPr>
          <w:rFonts w:ascii="宋体" w:hAnsi="宋体" w:cs="Arial"/>
          <w:sz w:val="24"/>
        </w:rPr>
        <w:t>2011</w:t>
      </w:r>
      <w:r>
        <w:rPr>
          <w:rFonts w:ascii="宋体" w:hAnsi="宋体" w:cs="Arial" w:hint="eastAsia"/>
          <w:sz w:val="24"/>
        </w:rPr>
        <w:t>〕1895号</w:t>
      </w:r>
    </w:p>
    <w:p w14:paraId="58E9A3A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组织形式：有限责任公司</w:t>
      </w:r>
    </w:p>
    <w:p w14:paraId="1638805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注册资本：50,625万元人民币</w:t>
      </w:r>
    </w:p>
    <w:p w14:paraId="10A012F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存续期间：永续经营</w:t>
      </w:r>
    </w:p>
    <w:p w14:paraId="6804A8F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经营范围：基金募集、基金销售、特定客户资产管理、资产管理和中国证监会许可的其他业务。</w:t>
      </w:r>
    </w:p>
    <w:p w14:paraId="15D38CD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（二）基金托管人</w:t>
      </w:r>
    </w:p>
    <w:p w14:paraId="6FCDC30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名称：中国建设银行股份有限公司</w:t>
      </w:r>
    </w:p>
    <w:p w14:paraId="43C0D27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住所：北京市西城区金融大街25号</w:t>
      </w:r>
    </w:p>
    <w:p w14:paraId="57570C1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办公地址：北京市西城区闹市口大街1号院1号楼</w:t>
      </w:r>
    </w:p>
    <w:p w14:paraId="4178185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邮政编码：100033</w:t>
      </w:r>
    </w:p>
    <w:p w14:paraId="374B763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法定代表人：田国立</w:t>
      </w:r>
    </w:p>
    <w:p w14:paraId="6503BC7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成立日期：2004年09月17日</w:t>
      </w:r>
    </w:p>
    <w:p w14:paraId="5B61941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基金托管业务批准文号：中国证监会</w:t>
      </w:r>
      <w:proofErr w:type="gramStart"/>
      <w:r>
        <w:rPr>
          <w:rFonts w:ascii="宋体" w:hAnsi="宋体" w:cs="Arial" w:hint="eastAsia"/>
          <w:sz w:val="24"/>
        </w:rPr>
        <w:t>证监基字</w:t>
      </w:r>
      <w:proofErr w:type="gramEnd"/>
      <w:r>
        <w:rPr>
          <w:rFonts w:ascii="宋体" w:hAnsi="宋体" w:cs="Arial" w:hint="eastAsia"/>
          <w:sz w:val="24"/>
        </w:rPr>
        <w:t>[1998</w:t>
      </w:r>
      <w:bookmarkStart w:id="1" w:name="OLE_LINK3"/>
      <w:r>
        <w:rPr>
          <w:rFonts w:ascii="宋体" w:hAnsi="宋体" w:cs="Arial" w:hint="eastAsia"/>
          <w:sz w:val="24"/>
        </w:rPr>
        <w:t>]</w:t>
      </w:r>
      <w:bookmarkEnd w:id="1"/>
      <w:r>
        <w:rPr>
          <w:rFonts w:ascii="宋体" w:hAnsi="宋体" w:cs="Arial" w:hint="eastAsia"/>
          <w:sz w:val="24"/>
        </w:rPr>
        <w:t>12号</w:t>
      </w:r>
    </w:p>
    <w:p w14:paraId="497C24E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组织形式：股份有限公司</w:t>
      </w:r>
    </w:p>
    <w:p w14:paraId="3AA0A23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注册资本：</w:t>
      </w:r>
      <w:proofErr w:type="gramStart"/>
      <w:r>
        <w:rPr>
          <w:rFonts w:ascii="宋体" w:hAnsi="宋体" w:hint="eastAsia"/>
          <w:sz w:val="24"/>
        </w:rPr>
        <w:t>贰仟伍佰亿壹仟零玖拾柒万柒仟肆佰捌拾陆</w:t>
      </w:r>
      <w:proofErr w:type="gramEnd"/>
      <w:r>
        <w:rPr>
          <w:rFonts w:ascii="宋体" w:hAnsi="宋体" w:hint="eastAsia"/>
          <w:sz w:val="24"/>
        </w:rPr>
        <w:t>元整</w:t>
      </w:r>
    </w:p>
    <w:p w14:paraId="3F7CBC5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存续期间：持续经营</w:t>
      </w:r>
    </w:p>
    <w:p w14:paraId="2F529965" w14:textId="77777777" w:rsidR="00255B24" w:rsidRDefault="00F94547">
      <w:pPr>
        <w:tabs>
          <w:tab w:val="left" w:pos="540"/>
        </w:tabs>
        <w:adjustRightInd w:val="0"/>
        <w:snapToGrid w:val="0"/>
        <w:spacing w:line="360" w:lineRule="auto"/>
        <w:ind w:firstLineChars="200" w:firstLine="480"/>
        <w:rPr>
          <w:rFonts w:ascii="宋体" w:hAnsi="宋体" w:cs="Arial"/>
          <w:sz w:val="24"/>
        </w:rPr>
      </w:pPr>
      <w:r>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Pr>
          <w:rFonts w:ascii="宋体" w:hAnsi="宋体" w:cs="Arial" w:hint="eastAsia"/>
          <w:sz w:val="24"/>
        </w:rPr>
        <w:lastRenderedPageBreak/>
        <w:t>业监督管理机构等监管部门批准的其他业务。</w:t>
      </w:r>
    </w:p>
    <w:p w14:paraId="0ED38339" w14:textId="77777777" w:rsidR="00255B24" w:rsidRDefault="00F94547">
      <w:pPr>
        <w:widowControl/>
        <w:jc w:val="left"/>
        <w:rPr>
          <w:rFonts w:ascii="宋体" w:hAnsi="宋体" w:cs="Arial"/>
          <w:sz w:val="24"/>
        </w:rPr>
      </w:pPr>
      <w:r>
        <w:rPr>
          <w:rFonts w:ascii="宋体" w:hAnsi="宋体" w:cs="Arial"/>
          <w:sz w:val="24"/>
        </w:rPr>
        <w:br w:type="page"/>
      </w:r>
    </w:p>
    <w:p w14:paraId="635DD8C7" w14:textId="77777777" w:rsidR="00255B24" w:rsidRDefault="00F94547">
      <w:pPr>
        <w:pStyle w:val="2"/>
        <w:spacing w:before="0" w:after="0" w:line="360" w:lineRule="auto"/>
        <w:jc w:val="center"/>
        <w:rPr>
          <w:rFonts w:ascii="宋体" w:eastAsia="宋体" w:hAnsi="宋体"/>
          <w:sz w:val="30"/>
        </w:rPr>
      </w:pPr>
      <w:bookmarkStart w:id="2" w:name="_Toc114149840"/>
      <w:r>
        <w:rPr>
          <w:rFonts w:ascii="宋体" w:eastAsia="宋体" w:hAnsi="宋体" w:hint="eastAsia"/>
          <w:sz w:val="30"/>
        </w:rPr>
        <w:lastRenderedPageBreak/>
        <w:t>二、基金托管协议的依据、目的和原则</w:t>
      </w:r>
      <w:bookmarkEnd w:id="2"/>
    </w:p>
    <w:p w14:paraId="2252378A" w14:textId="77777777" w:rsidR="00255B24" w:rsidRDefault="00F94547">
      <w:pPr>
        <w:adjustRightInd w:val="0"/>
        <w:snapToGrid w:val="0"/>
        <w:spacing w:line="360" w:lineRule="auto"/>
        <w:ind w:firstLineChars="200" w:firstLine="480"/>
        <w:rPr>
          <w:rFonts w:ascii="宋体" w:hAnsi="宋体"/>
          <w:sz w:val="24"/>
          <w:szCs w:val="30"/>
        </w:rPr>
      </w:pPr>
      <w:r>
        <w:rPr>
          <w:rFonts w:ascii="宋体" w:hAnsi="宋体" w:cs="Arial" w:hint="eastAsia"/>
          <w:sz w:val="24"/>
        </w:rPr>
        <w:t>（一）订立托管协议的依据</w:t>
      </w:r>
    </w:p>
    <w:p w14:paraId="47297C8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本协议依据《中华人民共和国证券投资基金法》(以下简称“《基金法》”)等有关法律法规、《基金合同》及其他有关规定制订。</w:t>
      </w:r>
    </w:p>
    <w:p w14:paraId="1D9B274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（二）订立托管协议的目的</w:t>
      </w:r>
    </w:p>
    <w:p w14:paraId="643DA4C7" w14:textId="77777777" w:rsidR="00255B24" w:rsidRDefault="00F94547">
      <w:pPr>
        <w:adjustRightInd w:val="0"/>
        <w:snapToGrid w:val="0"/>
        <w:spacing w:line="360" w:lineRule="auto"/>
        <w:ind w:firstLineChars="200" w:firstLine="480"/>
        <w:rPr>
          <w:rFonts w:ascii="宋体" w:hAnsi="宋体"/>
          <w:sz w:val="24"/>
          <w:szCs w:val="30"/>
        </w:rPr>
      </w:pPr>
      <w:r>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BE7610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（三）订立托管协议的原则</w:t>
      </w:r>
    </w:p>
    <w:p w14:paraId="6682113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基金管理人和基金托管人本着平等自愿、诚实信用、充分保护基金份额持有人合法权益的原则，经协商一致，签订本协议。</w:t>
      </w:r>
    </w:p>
    <w:p w14:paraId="26DC9792" w14:textId="77777777" w:rsidR="00255B24" w:rsidRDefault="00F94547">
      <w:pPr>
        <w:widowControl/>
        <w:jc w:val="left"/>
        <w:rPr>
          <w:rFonts w:ascii="宋体" w:hAnsi="宋体" w:cs="Arial"/>
          <w:sz w:val="24"/>
        </w:rPr>
      </w:pPr>
      <w:r>
        <w:rPr>
          <w:rFonts w:ascii="宋体" w:hAnsi="宋体" w:cs="Arial"/>
          <w:sz w:val="24"/>
        </w:rPr>
        <w:br w:type="page"/>
      </w:r>
    </w:p>
    <w:p w14:paraId="77AF9547" w14:textId="77777777" w:rsidR="00255B24" w:rsidRDefault="00F94547">
      <w:pPr>
        <w:pStyle w:val="2"/>
        <w:spacing w:before="0" w:after="0" w:line="360" w:lineRule="auto"/>
        <w:jc w:val="center"/>
        <w:rPr>
          <w:rFonts w:ascii="宋体" w:eastAsia="宋体" w:hAnsi="宋体"/>
          <w:sz w:val="30"/>
          <w:szCs w:val="24"/>
        </w:rPr>
      </w:pPr>
      <w:bookmarkStart w:id="3" w:name="_Toc114149841"/>
      <w:r>
        <w:rPr>
          <w:rFonts w:ascii="宋体" w:eastAsia="宋体" w:hAnsi="宋体" w:hint="eastAsia"/>
          <w:sz w:val="30"/>
        </w:rPr>
        <w:lastRenderedPageBreak/>
        <w:t>三、基金托管人对基金管理人的业务监督和核查</w:t>
      </w:r>
      <w:bookmarkEnd w:id="3"/>
    </w:p>
    <w:p w14:paraId="25FEAB7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3604088F" w14:textId="27FE7617" w:rsidR="00255B24" w:rsidRDefault="00F94547">
      <w:pPr>
        <w:spacing w:line="360" w:lineRule="auto"/>
        <w:ind w:firstLine="480"/>
        <w:rPr>
          <w:rFonts w:ascii="宋体" w:hAnsi="宋体" w:cs="Arial"/>
          <w:sz w:val="24"/>
        </w:rPr>
      </w:pPr>
      <w:r>
        <w:rPr>
          <w:rFonts w:hint="eastAsia"/>
          <w:bCs/>
          <w:sz w:val="24"/>
        </w:rPr>
        <w:t>本基金的投资范围为具有良好流动性的金融工具，包括国内依法发行和上市的股票（包括主板、创业板及其他经中国证监会核准或注册上市的股票、存托凭证）、港股通标的股票、国债、金融债、央行票据、地方政府债、政府支持机构债、政府支持债券、次级债、企业债、公司债、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可转换债券、可交换债券、资产支持证券、银行存款（包括协议存款、定期存款和其他银行存款）、同业存单、债券回购、货币市场工具、国债期货、股指期货、股票期权以及法律法规或中国证监会允许基金投资的其它金融工具，但须符合中国证监会的相关规定。</w:t>
      </w:r>
    </w:p>
    <w:p w14:paraId="68214B37" w14:textId="77777777" w:rsidR="00255B24" w:rsidRDefault="00F94547">
      <w:pPr>
        <w:spacing w:line="360" w:lineRule="auto"/>
        <w:ind w:firstLine="480"/>
        <w:rPr>
          <w:rFonts w:ascii="宋体" w:hAnsi="宋体" w:cs="Arial"/>
          <w:sz w:val="24"/>
        </w:rPr>
      </w:pPr>
      <w:r>
        <w:rPr>
          <w:rFonts w:ascii="宋体" w:hAnsi="宋体" w:cs="Arial" w:hint="eastAsia"/>
          <w:sz w:val="24"/>
        </w:rPr>
        <w:t>本基金可根据相关规定参与融资业务。</w:t>
      </w:r>
    </w:p>
    <w:p w14:paraId="604F7B75" w14:textId="77777777" w:rsidR="00255B24" w:rsidRDefault="00F94547">
      <w:pPr>
        <w:spacing w:line="360" w:lineRule="auto"/>
        <w:ind w:firstLine="480"/>
        <w:rPr>
          <w:rFonts w:ascii="宋体" w:hAnsi="宋体" w:cs="Arial"/>
          <w:sz w:val="24"/>
        </w:rPr>
      </w:pPr>
      <w:r>
        <w:rPr>
          <w:rFonts w:ascii="宋体" w:hAnsi="宋体" w:cs="Arial" w:hint="eastAsia"/>
          <w:sz w:val="24"/>
        </w:rPr>
        <w:t>如法律法规或监管机构以后允许基金投资其他品种，基金管理人在履行适当程序后，可以将其纳入投资范围。</w:t>
      </w:r>
    </w:p>
    <w:p w14:paraId="644028B8" w14:textId="77777777" w:rsidR="00255B24" w:rsidRDefault="00F94547">
      <w:pPr>
        <w:adjustRightInd w:val="0"/>
        <w:snapToGrid w:val="0"/>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（二）基金托管人根据有关法律法规的规定及《基金合同》的约定，对基金投资、融资比例进行监督。基金托管人按下述比例和调整期限进行监督：</w:t>
      </w:r>
    </w:p>
    <w:p w14:paraId="0C67064B" w14:textId="77777777" w:rsidR="00255B24" w:rsidRDefault="00F94547">
      <w:pPr>
        <w:spacing w:line="360" w:lineRule="auto"/>
        <w:ind w:firstLine="480"/>
        <w:rPr>
          <w:rFonts w:ascii="宋体" w:hAnsi="宋体"/>
          <w:sz w:val="24"/>
        </w:rPr>
      </w:pPr>
      <w:r>
        <w:rPr>
          <w:rFonts w:ascii="宋体" w:hAnsi="宋体"/>
          <w:sz w:val="24"/>
        </w:rPr>
        <w:t>基金的投资组合比例为：</w:t>
      </w:r>
      <w:r>
        <w:rPr>
          <w:rFonts w:ascii="宋体" w:hAnsi="宋体" w:hint="eastAsia"/>
          <w:sz w:val="24"/>
        </w:rPr>
        <w:t>本基金股票投资占基金资产的比例为80%–95%（其中，港股通标的股票投资占股票资产的比例为0%-50%）。其中，投资于本基金界定的数字经济主题相关股票的比例不低于非现金基金资产的80%。每个交易日日终在扣除国债期货合约、股指期货合约和股票期权合约需缴纳的交易保证金后，本基金保持不低于基金资产净值5%的现金或者到期日在一年以内的政府债券，其中现金不包括结算备付金、存出保证金、应收申购款等。</w:t>
      </w:r>
    </w:p>
    <w:p w14:paraId="676930DA" w14:textId="680521E0" w:rsidR="00255B24" w:rsidRDefault="00F94547">
      <w:pPr>
        <w:adjustRightInd w:val="0"/>
        <w:snapToGrid w:val="0"/>
        <w:spacing w:line="360" w:lineRule="auto"/>
        <w:ind w:firstLineChars="200" w:firstLine="480"/>
        <w:rPr>
          <w:rFonts w:ascii="宋体" w:hAnsi="宋体"/>
          <w:sz w:val="24"/>
        </w:rPr>
      </w:pPr>
      <w:r>
        <w:rPr>
          <w:rFonts w:ascii="宋体" w:hAnsi="宋体" w:hint="eastAsia"/>
          <w:sz w:val="24"/>
        </w:rPr>
        <w:t>如果法律法规或监管机构变更投资品种的投资比例限制，基金管理人在履行适当程序后，可以调整上述投资品种的投资比例。</w:t>
      </w:r>
    </w:p>
    <w:p w14:paraId="6AA35AAA" w14:textId="77777777" w:rsidR="00255B24" w:rsidRDefault="00F94547">
      <w:pPr>
        <w:spacing w:line="360" w:lineRule="auto"/>
        <w:ind w:firstLineChars="200" w:firstLine="480"/>
        <w:rPr>
          <w:rFonts w:ascii="宋体" w:hAnsi="宋体"/>
          <w:sz w:val="24"/>
        </w:rPr>
      </w:pPr>
      <w:r>
        <w:rPr>
          <w:rFonts w:ascii="宋体" w:hAnsi="宋体"/>
          <w:sz w:val="24"/>
        </w:rPr>
        <w:lastRenderedPageBreak/>
        <w:t>基金的投资组合应遵循以下限制：</w:t>
      </w:r>
    </w:p>
    <w:p w14:paraId="17DA2E49" w14:textId="77777777" w:rsidR="00255B24" w:rsidRDefault="00F94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本基金股票投资占基金资产的比例为80%–95%（其中，港股通标的股票投资占股票资产的比例为0%-50%）。其中，投资于本基金界定的数字经济主题相关股票的比例不低于非现金基金资产的80%；</w:t>
      </w:r>
    </w:p>
    <w:p w14:paraId="282E6A08" w14:textId="77777777" w:rsidR="00255B24" w:rsidRDefault="00F94547">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每个交易日日终在扣除股指期货合约、</w:t>
      </w:r>
      <w:r>
        <w:rPr>
          <w:rFonts w:ascii="宋体" w:hAnsi="宋体"/>
          <w:sz w:val="24"/>
        </w:rPr>
        <w:t>国债期货合约</w:t>
      </w:r>
      <w:r>
        <w:rPr>
          <w:rFonts w:ascii="宋体" w:hAnsi="宋体" w:hint="eastAsia"/>
          <w:sz w:val="24"/>
        </w:rPr>
        <w:t>和股票期权合约需缴纳的交易保证金后，本基金</w:t>
      </w:r>
      <w:r>
        <w:rPr>
          <w:rFonts w:ascii="宋体" w:hAnsi="宋体"/>
          <w:sz w:val="24"/>
        </w:rPr>
        <w:t>保持不低于基金资产净值5％的现金或者到期日在一年以内的政府债券</w:t>
      </w:r>
      <w:r>
        <w:rPr>
          <w:rFonts w:ascii="宋体" w:hAnsi="宋体" w:hint="eastAsia"/>
          <w:sz w:val="24"/>
        </w:rPr>
        <w:t>，其中现金不包括结算备付金、存出保证金和应收申购款等</w:t>
      </w:r>
      <w:r>
        <w:rPr>
          <w:rFonts w:ascii="宋体" w:hAnsi="宋体"/>
          <w:sz w:val="24"/>
        </w:rPr>
        <w:t>；</w:t>
      </w:r>
    </w:p>
    <w:p w14:paraId="17A681A3" w14:textId="77777777" w:rsidR="00255B24" w:rsidRDefault="00F94547">
      <w:pPr>
        <w:spacing w:line="36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）本基金持有一家公司</w:t>
      </w:r>
      <w:r>
        <w:rPr>
          <w:rFonts w:ascii="宋体" w:hAnsi="宋体" w:hint="eastAsia"/>
          <w:sz w:val="24"/>
        </w:rPr>
        <w:t>发行</w:t>
      </w:r>
      <w:r>
        <w:rPr>
          <w:rFonts w:ascii="宋体" w:hAnsi="宋体"/>
          <w:sz w:val="24"/>
        </w:rPr>
        <w:t>的</w:t>
      </w:r>
      <w:r>
        <w:rPr>
          <w:rFonts w:ascii="宋体" w:hAnsi="宋体" w:hint="eastAsia"/>
          <w:sz w:val="24"/>
        </w:rPr>
        <w:t>证券（同一家公司在内地和香港市场同时上市的A+H股合并计算）</w:t>
      </w:r>
      <w:r>
        <w:rPr>
          <w:rFonts w:ascii="宋体" w:hAnsi="宋体"/>
          <w:sz w:val="24"/>
        </w:rPr>
        <w:t>，其市值不超过基金资产净值的10％；</w:t>
      </w:r>
    </w:p>
    <w:p w14:paraId="69C7FDB0" w14:textId="77777777" w:rsidR="00255B24" w:rsidRDefault="00F94547">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）本基金管理人管理的</w:t>
      </w:r>
      <w:r>
        <w:rPr>
          <w:rFonts w:ascii="宋体" w:hAnsi="宋体" w:hint="eastAsia"/>
          <w:sz w:val="24"/>
        </w:rPr>
        <w:t>且在本基金托管人处托管的</w:t>
      </w:r>
      <w:r>
        <w:rPr>
          <w:rFonts w:ascii="宋体" w:hAnsi="宋体"/>
          <w:sz w:val="24"/>
        </w:rPr>
        <w:t>全部基金持有一家公司发行的证券</w:t>
      </w:r>
      <w:r>
        <w:rPr>
          <w:rFonts w:ascii="宋体" w:hAnsi="宋体" w:hint="eastAsia"/>
          <w:sz w:val="24"/>
        </w:rPr>
        <w:t>（同一家公司在内地和香港市场同时上市的A+H股合并计算）</w:t>
      </w:r>
      <w:r>
        <w:rPr>
          <w:rFonts w:ascii="宋体" w:hAnsi="宋体"/>
          <w:sz w:val="24"/>
        </w:rPr>
        <w:t>，不超过该证券的10％；</w:t>
      </w:r>
    </w:p>
    <w:p w14:paraId="0A2A7810" w14:textId="77777777" w:rsidR="00255B24" w:rsidRDefault="00F94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）本基金投资于同一原始权益人的各类资产支持证券的比例，不得超过</w:t>
      </w:r>
      <w:r>
        <w:rPr>
          <w:rFonts w:ascii="宋体" w:hAnsi="宋体"/>
          <w:sz w:val="24"/>
        </w:rPr>
        <w:t>基金资产净值的10％；</w:t>
      </w:r>
    </w:p>
    <w:p w14:paraId="1A4CA334" w14:textId="77777777" w:rsidR="00255B24" w:rsidRDefault="00F94547">
      <w:pPr>
        <w:spacing w:line="360" w:lineRule="auto"/>
        <w:ind w:firstLineChars="200" w:firstLine="480"/>
        <w:rPr>
          <w:rFonts w:ascii="宋体" w:hAnsi="宋体"/>
          <w:sz w:val="24"/>
        </w:rPr>
      </w:pPr>
      <w:r>
        <w:rPr>
          <w:rFonts w:ascii="宋体" w:hAnsi="宋体"/>
          <w:sz w:val="24"/>
        </w:rPr>
        <w:t>（6）本基金持有的全部资产支持证券，其市值不得超过基金资产净值的20％；</w:t>
      </w:r>
    </w:p>
    <w:p w14:paraId="091DCDDF" w14:textId="77777777" w:rsidR="00255B24" w:rsidRDefault="00F94547">
      <w:pPr>
        <w:spacing w:line="360" w:lineRule="auto"/>
        <w:ind w:firstLineChars="200" w:firstLine="480"/>
        <w:rPr>
          <w:rFonts w:ascii="宋体" w:hAnsi="宋体"/>
          <w:sz w:val="24"/>
        </w:rPr>
      </w:pPr>
      <w:r>
        <w:rPr>
          <w:rFonts w:ascii="宋体" w:hAnsi="宋体"/>
          <w:sz w:val="24"/>
        </w:rPr>
        <w:t>（7）本基金持有的同一(指同一信用级别)资产支持证券的比例，不得超过该资产支持证券规模的10％；</w:t>
      </w:r>
    </w:p>
    <w:p w14:paraId="576F9E88" w14:textId="77777777" w:rsidR="00255B24" w:rsidRDefault="00F94547">
      <w:pPr>
        <w:spacing w:line="360" w:lineRule="auto"/>
        <w:ind w:firstLineChars="200" w:firstLine="480"/>
        <w:rPr>
          <w:rFonts w:ascii="宋体" w:hAnsi="宋体"/>
          <w:sz w:val="24"/>
        </w:rPr>
      </w:pPr>
      <w:r>
        <w:rPr>
          <w:rFonts w:ascii="宋体" w:hAnsi="宋体"/>
          <w:sz w:val="24"/>
        </w:rPr>
        <w:t>（8）本基金管理人管理的</w:t>
      </w:r>
      <w:r>
        <w:rPr>
          <w:rFonts w:ascii="宋体" w:hAnsi="宋体" w:hint="eastAsia"/>
          <w:sz w:val="24"/>
        </w:rPr>
        <w:t>且在本基金托管人处托管的</w:t>
      </w:r>
      <w:r>
        <w:rPr>
          <w:rFonts w:ascii="宋体" w:hAnsi="宋体"/>
          <w:sz w:val="24"/>
        </w:rPr>
        <w:t>全部基金投资于同一原始权益人的各类资产支持证券，不得超过其各类资产支持证券合计规模的10％；</w:t>
      </w:r>
    </w:p>
    <w:p w14:paraId="27C14C2E" w14:textId="77777777" w:rsidR="00255B24" w:rsidRDefault="00F94547">
      <w:pPr>
        <w:spacing w:line="360" w:lineRule="auto"/>
        <w:ind w:firstLineChars="200" w:firstLine="480"/>
        <w:rPr>
          <w:rFonts w:ascii="宋体" w:hAnsi="宋体"/>
          <w:sz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3D943B4E" w14:textId="77777777" w:rsidR="00255B24" w:rsidRDefault="00F94547">
      <w:pPr>
        <w:spacing w:line="360" w:lineRule="auto"/>
        <w:ind w:firstLineChars="200" w:firstLine="480"/>
        <w:rPr>
          <w:rFonts w:ascii="宋体" w:hAnsi="宋体"/>
          <w:sz w:val="24"/>
        </w:rPr>
      </w:pPr>
      <w:r>
        <w:rPr>
          <w:rFonts w:ascii="宋体" w:hAnsi="宋体"/>
          <w:sz w:val="24"/>
        </w:rPr>
        <w:t>（10）基金财产参与股票发行申购，本基金所申报的金额不超过本基金的总资产，本基金所申报的股票数量不超过拟发行股票公司本次发行股票的总量；</w:t>
      </w:r>
    </w:p>
    <w:p w14:paraId="7AB3FAD2" w14:textId="77777777" w:rsidR="00255B24" w:rsidRDefault="00F94547">
      <w:pPr>
        <w:spacing w:line="360" w:lineRule="auto"/>
        <w:ind w:firstLineChars="200" w:firstLine="480"/>
        <w:rPr>
          <w:rFonts w:ascii="宋体" w:hAnsi="宋体"/>
          <w:sz w:val="24"/>
        </w:rPr>
      </w:pPr>
      <w:bookmarkStart w:id="4" w:name="_Hlk75541358"/>
      <w:r>
        <w:rPr>
          <w:rFonts w:ascii="宋体" w:hAnsi="宋体"/>
          <w:sz w:val="24"/>
        </w:rPr>
        <w:t>（11）</w:t>
      </w:r>
      <w:r>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bookmarkEnd w:id="4"/>
    </w:p>
    <w:p w14:paraId="65AA422C" w14:textId="77777777" w:rsidR="00255B24" w:rsidRDefault="00F94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本基金管理人管理的且在本基金托管人处托管的全部开放式基金（包括开放式基金以及处于开放期的定期开放基金）持有一家上市公司发行的可流通股票，不得超过该上市公司可流通股票的15%；本基金管理人管理的且在本基金托管</w:t>
      </w:r>
      <w:r>
        <w:rPr>
          <w:rFonts w:ascii="宋体" w:hAnsi="宋体" w:hint="eastAsia"/>
          <w:sz w:val="24"/>
        </w:rPr>
        <w:lastRenderedPageBreak/>
        <w:t>人处托管的全部投资组合持有一家上市公司发行的可流通股票，不得超过该上市公司可流通股票的30%；</w:t>
      </w:r>
    </w:p>
    <w:p w14:paraId="4604710A" w14:textId="77777777" w:rsidR="00255B24" w:rsidRDefault="00F94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）本基金参与股指期货或国债期货的，在任何交易日日终，持有的买入股指期货及国债期货合约价值与有价证券市值之和，不得超过基金资产净值的</w:t>
      </w:r>
      <w:r>
        <w:rPr>
          <w:rFonts w:ascii="宋体" w:hAnsi="宋体"/>
          <w:sz w:val="24"/>
        </w:rPr>
        <w:t>95</w:t>
      </w:r>
      <w:r>
        <w:rPr>
          <w:rFonts w:ascii="宋体" w:hAnsi="宋体" w:hint="eastAsia"/>
          <w:sz w:val="24"/>
        </w:rPr>
        <w:t>%。其中，有价证券指股票、债券（不含到期日在一年以内的政府债券）、资产支持证券、买入返售金融资产（不含质押式回购）等；</w:t>
      </w:r>
    </w:p>
    <w:p w14:paraId="33715D68" w14:textId="77777777" w:rsidR="00255B24" w:rsidRDefault="00F94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）若本基金参与股指期货交易，须遵守下列投资比例限制：</w:t>
      </w:r>
    </w:p>
    <w:p w14:paraId="1F193148" w14:textId="77777777" w:rsidR="00255B24" w:rsidRDefault="00F94547">
      <w:pPr>
        <w:spacing w:line="360" w:lineRule="auto"/>
        <w:ind w:firstLineChars="200" w:firstLine="480"/>
        <w:rPr>
          <w:rFonts w:ascii="宋体" w:hAnsi="宋体"/>
          <w:sz w:val="24"/>
        </w:rPr>
      </w:pPr>
      <w:r>
        <w:rPr>
          <w:rFonts w:ascii="宋体" w:hAnsi="宋体" w:hint="eastAsia"/>
          <w:sz w:val="24"/>
        </w:rPr>
        <w:t>1）本基金在任何交易日日终，持有的买入股指期货合约价值，不得超过基金资产净值的10%；</w:t>
      </w:r>
    </w:p>
    <w:p w14:paraId="24844A1C" w14:textId="77777777" w:rsidR="00255B24" w:rsidRDefault="00F94547">
      <w:pPr>
        <w:spacing w:line="360" w:lineRule="auto"/>
        <w:ind w:firstLineChars="200" w:firstLine="480"/>
        <w:rPr>
          <w:rFonts w:ascii="宋体" w:hAnsi="宋体"/>
          <w:sz w:val="24"/>
        </w:rPr>
      </w:pPr>
      <w:r>
        <w:rPr>
          <w:rFonts w:ascii="宋体" w:hAnsi="宋体" w:hint="eastAsia"/>
          <w:sz w:val="24"/>
        </w:rPr>
        <w:t>2）本基金在任何交易日日终，持有的卖出股指期货合约价值不得超过基金持有的股票总市值的20%；</w:t>
      </w:r>
    </w:p>
    <w:p w14:paraId="021BDB6F" w14:textId="77777777" w:rsidR="00255B24" w:rsidRDefault="00F94547">
      <w:pPr>
        <w:spacing w:line="360" w:lineRule="auto"/>
        <w:ind w:firstLineChars="200" w:firstLine="480"/>
        <w:rPr>
          <w:rFonts w:ascii="宋体" w:hAnsi="宋体"/>
          <w:sz w:val="24"/>
        </w:rPr>
      </w:pPr>
      <w:r>
        <w:rPr>
          <w:rFonts w:ascii="宋体" w:hAnsi="宋体" w:hint="eastAsia"/>
          <w:sz w:val="24"/>
        </w:rPr>
        <w:t>3）本基金所持有的股票市值和买入、卖出股指期货合约价值，合计（轧差计算）应当符合基金合同关于股票投资比例的有关约定；</w:t>
      </w:r>
    </w:p>
    <w:p w14:paraId="01BDDAD7" w14:textId="77777777" w:rsidR="00255B24" w:rsidRDefault="00F94547">
      <w:pPr>
        <w:spacing w:line="360" w:lineRule="auto"/>
        <w:ind w:firstLineChars="200" w:firstLine="480"/>
        <w:rPr>
          <w:rFonts w:ascii="宋体" w:hAnsi="宋体"/>
          <w:sz w:val="24"/>
        </w:rPr>
      </w:pPr>
      <w:r>
        <w:rPr>
          <w:rFonts w:ascii="宋体" w:hAnsi="宋体" w:hint="eastAsia"/>
          <w:sz w:val="24"/>
        </w:rPr>
        <w:t>4）本基金在任何交易日内交易（不包括平仓）的股指期货合约的成交金额不得超过上一交易日基金资产净值的20%；</w:t>
      </w:r>
    </w:p>
    <w:p w14:paraId="6B810F58" w14:textId="77777777" w:rsidR="00255B24" w:rsidRDefault="00F94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）若本基金参与国债期货交易，须遵守下列投资比例限制：</w:t>
      </w:r>
    </w:p>
    <w:p w14:paraId="51369E5F" w14:textId="77777777" w:rsidR="00255B24" w:rsidRDefault="00F94547">
      <w:pPr>
        <w:spacing w:line="360" w:lineRule="auto"/>
        <w:ind w:firstLineChars="200" w:firstLine="480"/>
        <w:rPr>
          <w:rFonts w:ascii="宋体" w:hAnsi="宋体"/>
          <w:sz w:val="24"/>
        </w:rPr>
      </w:pPr>
      <w:r>
        <w:rPr>
          <w:rFonts w:ascii="宋体" w:hAnsi="宋体" w:hint="eastAsia"/>
          <w:sz w:val="24"/>
        </w:rPr>
        <w:t>1）本基金在任何交易日日终，持有的买入国债期货合约价值，不得超过基金资产净值的15%；</w:t>
      </w:r>
    </w:p>
    <w:p w14:paraId="37667B01" w14:textId="77777777" w:rsidR="00255B24" w:rsidRDefault="00F94547">
      <w:pPr>
        <w:spacing w:line="360" w:lineRule="auto"/>
        <w:ind w:firstLineChars="200" w:firstLine="480"/>
        <w:rPr>
          <w:rFonts w:ascii="宋体" w:hAnsi="宋体"/>
          <w:sz w:val="24"/>
        </w:rPr>
      </w:pPr>
      <w:r>
        <w:rPr>
          <w:rFonts w:ascii="宋体" w:hAnsi="宋体" w:hint="eastAsia"/>
          <w:sz w:val="24"/>
        </w:rPr>
        <w:t>2）本基金在任何交易日日终，持有的卖出国债期货合约价值不得超过基金持有的债券总市值的30%；</w:t>
      </w:r>
    </w:p>
    <w:p w14:paraId="772455C8" w14:textId="70C89A8C" w:rsidR="00255B24" w:rsidRDefault="00F94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）本基金在任何交易日内交易（不包括平仓）的国债期货合约的成交金额不得超过上一交易日基金资产净值的30%；</w:t>
      </w:r>
    </w:p>
    <w:p w14:paraId="20D0E20D" w14:textId="77777777" w:rsidR="00255B24" w:rsidRDefault="00F94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）若本基金参与股票期权交易，须遵守下列投资比例限制：</w:t>
      </w:r>
    </w:p>
    <w:p w14:paraId="087CDA34" w14:textId="77777777" w:rsidR="00255B24" w:rsidRDefault="00F94547">
      <w:pPr>
        <w:spacing w:line="360" w:lineRule="auto"/>
        <w:ind w:firstLineChars="200" w:firstLine="480"/>
        <w:rPr>
          <w:rFonts w:ascii="宋体" w:hAnsi="宋体"/>
          <w:sz w:val="24"/>
        </w:rPr>
      </w:pPr>
      <w:r>
        <w:rPr>
          <w:rFonts w:ascii="宋体" w:hAnsi="宋体" w:hint="eastAsia"/>
          <w:sz w:val="24"/>
        </w:rPr>
        <w:t>1）基金因未平仓的股票期权合约支付和收取的权利金总额不得超过基金资产净值的10%；</w:t>
      </w:r>
    </w:p>
    <w:p w14:paraId="38CBA953" w14:textId="77777777" w:rsidR="00255B24" w:rsidRDefault="00F94547">
      <w:pPr>
        <w:spacing w:line="360" w:lineRule="auto"/>
        <w:ind w:firstLineChars="200" w:firstLine="480"/>
        <w:rPr>
          <w:rFonts w:ascii="宋体" w:hAnsi="宋体"/>
          <w:sz w:val="24"/>
        </w:rPr>
      </w:pPr>
      <w:r>
        <w:rPr>
          <w:rFonts w:ascii="宋体" w:hAnsi="宋体" w:hint="eastAsia"/>
          <w:sz w:val="24"/>
        </w:rPr>
        <w:t>2）开仓卖出认购股票期权的，应持有足额标的证券；开仓卖出认</w:t>
      </w:r>
      <w:proofErr w:type="gramStart"/>
      <w:r>
        <w:rPr>
          <w:rFonts w:ascii="宋体" w:hAnsi="宋体" w:hint="eastAsia"/>
          <w:sz w:val="24"/>
        </w:rPr>
        <w:t>沽股票</w:t>
      </w:r>
      <w:proofErr w:type="gramEnd"/>
      <w:r>
        <w:rPr>
          <w:rFonts w:ascii="宋体" w:hAnsi="宋体" w:hint="eastAsia"/>
          <w:sz w:val="24"/>
        </w:rPr>
        <w:t>期权的，应持有合约行权所需的全额现金或交易所规则认可的可冲抵股票期权保证金的现金等价物；</w:t>
      </w:r>
    </w:p>
    <w:p w14:paraId="782BA3F9" w14:textId="77777777" w:rsidR="00255B24" w:rsidRDefault="00F94547">
      <w:pPr>
        <w:spacing w:line="360" w:lineRule="auto"/>
        <w:ind w:firstLineChars="200" w:firstLine="480"/>
        <w:rPr>
          <w:rFonts w:ascii="宋体" w:hAnsi="宋体"/>
          <w:sz w:val="24"/>
        </w:rPr>
      </w:pPr>
      <w:r>
        <w:rPr>
          <w:rFonts w:ascii="宋体" w:hAnsi="宋体" w:hint="eastAsia"/>
          <w:sz w:val="24"/>
        </w:rPr>
        <w:t>3）未平仓的股票期权合约面值不得超过基金资产净值的20%。其中，合约面值按照行权价乘以合约乘数计算；</w:t>
      </w:r>
    </w:p>
    <w:p w14:paraId="3D3E8AF5" w14:textId="77777777" w:rsidR="00255B24" w:rsidRDefault="00F94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17）</w:t>
      </w:r>
      <w:r>
        <w:rPr>
          <w:rFonts w:ascii="宋体" w:hAnsi="宋体" w:hint="eastAsia"/>
          <w:sz w:val="24"/>
        </w:rPr>
        <w:t>本基金的基金资产总值不得超过基金资产净值的140%；</w:t>
      </w:r>
    </w:p>
    <w:p w14:paraId="2365AA74" w14:textId="77777777" w:rsidR="00255B24" w:rsidRDefault="00F94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）基金参与融资业务后，在任何交易日日终，持有的融资买入股票与其他有价证券市值之和，不得超过基金资产净值的95%；</w:t>
      </w:r>
    </w:p>
    <w:p w14:paraId="1187631D" w14:textId="4BB6A31E" w:rsidR="00255B24" w:rsidRDefault="00F94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334EE0A" w14:textId="681B04A7" w:rsidR="00255B24" w:rsidRDefault="00F94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0</w:t>
      </w:r>
      <w:r>
        <w:rPr>
          <w:rFonts w:ascii="宋体" w:hAnsi="宋体" w:hint="eastAsia"/>
          <w:sz w:val="24"/>
        </w:rPr>
        <w:t>）本基金投资存托凭证的比例限制依照境内上市交易的股票执行；</w:t>
      </w:r>
    </w:p>
    <w:p w14:paraId="509CD9BC" w14:textId="6F8E5687" w:rsidR="00255B24" w:rsidRDefault="00F945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法律法规及中国证监会规定的和《基金合同》约定的其他投资限制。</w:t>
      </w:r>
    </w:p>
    <w:p w14:paraId="2C59F4EA" w14:textId="4E2FC77C" w:rsidR="00255B24" w:rsidRDefault="00F94547">
      <w:pPr>
        <w:spacing w:line="360" w:lineRule="auto"/>
        <w:ind w:firstLineChars="200" w:firstLine="480"/>
        <w:rPr>
          <w:rFonts w:ascii="宋体" w:hAnsi="宋体"/>
          <w:sz w:val="24"/>
        </w:rPr>
      </w:pPr>
      <w:r>
        <w:rPr>
          <w:rFonts w:ascii="宋体" w:hAnsi="宋体" w:hint="eastAsia"/>
          <w:sz w:val="24"/>
        </w:rPr>
        <w:t>除上述（2）、（</w:t>
      </w:r>
      <w:r>
        <w:rPr>
          <w:rFonts w:ascii="宋体" w:hAnsi="宋体"/>
          <w:sz w:val="24"/>
        </w:rPr>
        <w:t>9</w:t>
      </w:r>
      <w:r>
        <w:rPr>
          <w:rFonts w:ascii="宋体" w:hAnsi="宋体" w:hint="eastAsia"/>
          <w:sz w:val="24"/>
        </w:rPr>
        <w:t>）、（</w:t>
      </w:r>
      <w:r>
        <w:rPr>
          <w:rFonts w:ascii="宋体" w:hAnsi="宋体"/>
          <w:sz w:val="24"/>
        </w:rPr>
        <w:t>19</w:t>
      </w:r>
      <w:r>
        <w:rPr>
          <w:rFonts w:ascii="宋体" w:hAnsi="宋体" w:hint="eastAsia"/>
          <w:sz w:val="24"/>
        </w:rPr>
        <w:t>）情形外，因证券、期货市场波动、证券发行人合并、基金规模变动等基金管理人之外的因素致使基金投资比例不符合上述规定投资比例的，基金管理人应当在</w:t>
      </w:r>
      <w:r>
        <w:rPr>
          <w:rFonts w:ascii="宋体" w:hAnsi="宋体"/>
          <w:sz w:val="24"/>
        </w:rPr>
        <w:t>10</w:t>
      </w:r>
      <w:r>
        <w:rPr>
          <w:rFonts w:ascii="宋体" w:hAnsi="宋体" w:hint="eastAsia"/>
          <w:sz w:val="24"/>
        </w:rPr>
        <w:t>个交易日内进行调整，但中国证监会规定的特殊情形除外。法律法规另有规定的，从其规定。</w:t>
      </w:r>
    </w:p>
    <w:p w14:paraId="121572E7" w14:textId="77777777" w:rsidR="00255B24" w:rsidRDefault="00F94547">
      <w:pPr>
        <w:spacing w:line="360" w:lineRule="auto"/>
        <w:ind w:firstLineChars="200" w:firstLine="480"/>
        <w:rPr>
          <w:rFonts w:ascii="宋体" w:hAnsi="宋体"/>
          <w:sz w:val="24"/>
        </w:rPr>
      </w:pPr>
      <w:r>
        <w:rPr>
          <w:rFonts w:ascii="宋体" w:hAnsi="宋体"/>
          <w:sz w:val="24"/>
        </w:rPr>
        <w:t>基金管理人应当自基金合同生效之日起</w:t>
      </w:r>
      <w:r>
        <w:rPr>
          <w:rFonts w:ascii="宋体" w:hAnsi="宋体" w:hint="eastAsia"/>
          <w:sz w:val="24"/>
        </w:rPr>
        <w:t>6</w:t>
      </w:r>
      <w:r>
        <w:rPr>
          <w:rFonts w:ascii="宋体" w:hAnsi="宋体"/>
          <w:sz w:val="24"/>
        </w:rPr>
        <w:t>个月内使基金的投资组合比例符合基金合同的有关约定。</w:t>
      </w:r>
      <w:r>
        <w:rPr>
          <w:rFonts w:ascii="宋体" w:hAnsi="宋体" w:hint="eastAsia"/>
          <w:sz w:val="24"/>
        </w:rPr>
        <w:t>在上述期间内，本基金的投资范围、投资策略应当符合基金合同的约定。</w:t>
      </w:r>
      <w:r>
        <w:rPr>
          <w:rFonts w:ascii="宋体" w:hAnsi="宋体"/>
          <w:sz w:val="24"/>
        </w:rPr>
        <w:t>基金托管人对基金的投资的监督与检查自基金合同生效之日起开始。</w:t>
      </w:r>
      <w:bookmarkStart w:id="5" w:name="OLE_LINK7"/>
      <w:bookmarkStart w:id="6" w:name="OLE_LINK6"/>
      <w:r>
        <w:rPr>
          <w:rFonts w:ascii="宋体" w:hAnsi="宋体"/>
          <w:sz w:val="24"/>
        </w:rPr>
        <w:t>法律法规或监管部门另有规定的，从其规定。</w:t>
      </w:r>
      <w:bookmarkEnd w:id="5"/>
      <w:bookmarkEnd w:id="6"/>
    </w:p>
    <w:p w14:paraId="5BE5BCBE" w14:textId="77777777" w:rsidR="00255B24" w:rsidRDefault="00F94547">
      <w:pPr>
        <w:adjustRightInd w:val="0"/>
        <w:snapToGrid w:val="0"/>
        <w:spacing w:line="360" w:lineRule="auto"/>
        <w:ind w:firstLineChars="200" w:firstLine="480"/>
        <w:rPr>
          <w:rFonts w:ascii="宋体" w:hAnsi="宋体"/>
          <w:sz w:val="24"/>
        </w:rPr>
      </w:pPr>
      <w:r>
        <w:rPr>
          <w:rFonts w:ascii="宋体" w:hAnsi="宋体"/>
          <w:sz w:val="24"/>
        </w:rPr>
        <w:t>法律法规或监管部门取消</w:t>
      </w:r>
      <w:r>
        <w:rPr>
          <w:rFonts w:ascii="宋体" w:hAnsi="宋体" w:hint="eastAsia"/>
          <w:sz w:val="24"/>
        </w:rPr>
        <w:t>或调整</w:t>
      </w:r>
      <w:r>
        <w:rPr>
          <w:rFonts w:ascii="宋体" w:hAnsi="宋体"/>
          <w:sz w:val="24"/>
        </w:rPr>
        <w:t>上述限制，如适用于本基金，基金管理人</w:t>
      </w:r>
      <w:r>
        <w:rPr>
          <w:rFonts w:ascii="宋体" w:hAnsi="宋体" w:hint="eastAsia"/>
          <w:sz w:val="24"/>
        </w:rPr>
        <w:t>在</w:t>
      </w:r>
      <w:r>
        <w:rPr>
          <w:rFonts w:ascii="宋体" w:hAnsi="宋体"/>
          <w:sz w:val="24"/>
        </w:rPr>
        <w:t>履行适当程序后，则本基金投资不再受相关限制</w:t>
      </w:r>
      <w:r>
        <w:rPr>
          <w:rFonts w:ascii="宋体" w:hAnsi="宋体" w:hint="eastAsia"/>
          <w:sz w:val="24"/>
        </w:rPr>
        <w:t>或按调整后的规定执行</w:t>
      </w:r>
      <w:r>
        <w:rPr>
          <w:rFonts w:ascii="宋体" w:hAnsi="宋体"/>
          <w:sz w:val="24"/>
        </w:rPr>
        <w:t>。</w:t>
      </w:r>
    </w:p>
    <w:p w14:paraId="1786A10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（三）基金托管人</w:t>
      </w:r>
      <w:bookmarkStart w:id="7" w:name="OLE_LINK1"/>
      <w:r>
        <w:rPr>
          <w:rFonts w:ascii="宋体" w:hAnsi="宋体" w:cs="Arial" w:hint="eastAsia"/>
          <w:sz w:val="24"/>
        </w:rPr>
        <w:t>根据有关法律法规的规定及《基金合同》的约定，</w:t>
      </w:r>
      <w:bookmarkEnd w:id="7"/>
      <w:r>
        <w:rPr>
          <w:rFonts w:ascii="宋体" w:hAnsi="宋体" w:cs="Arial" w:hint="eastAsia"/>
          <w:sz w:val="24"/>
        </w:rPr>
        <w:t>对本托管协议第十五条第（九）</w:t>
      </w:r>
      <w:proofErr w:type="gramStart"/>
      <w:r>
        <w:rPr>
          <w:rFonts w:ascii="宋体" w:hAnsi="宋体" w:cs="Arial" w:hint="eastAsia"/>
          <w:sz w:val="24"/>
        </w:rPr>
        <w:t>款基金</w:t>
      </w:r>
      <w:proofErr w:type="gramEnd"/>
      <w:r>
        <w:rPr>
          <w:rFonts w:ascii="宋体" w:hAnsi="宋体" w:cs="Arial" w:hint="eastAsia"/>
          <w:sz w:val="24"/>
        </w:rPr>
        <w:t>投资禁止行为通过事后监督方式进行监督。</w:t>
      </w:r>
    </w:p>
    <w:p w14:paraId="22DCB235" w14:textId="77777777" w:rsidR="00255B24" w:rsidRDefault="00F94547">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AD703A" w14:textId="77777777" w:rsidR="00255B24" w:rsidRDefault="00F94547">
      <w:pPr>
        <w:spacing w:line="360" w:lineRule="auto"/>
        <w:ind w:firstLineChars="200" w:firstLine="480"/>
        <w:rPr>
          <w:bCs/>
          <w:sz w:val="24"/>
          <w:szCs w:val="20"/>
        </w:rPr>
      </w:pPr>
      <w:r>
        <w:rPr>
          <w:rFonts w:ascii="宋体" w:hAnsi="宋体" w:hint="eastAsia"/>
          <w:bCs/>
          <w:sz w:val="24"/>
        </w:rPr>
        <w:t>法律、行政法规或监管部门取消或调整上述禁止性规定，如适用于本基金，基金管理人在履行适当程序后，则本基金投资不再受相关限制或按调整后的规定执</w:t>
      </w:r>
      <w:r>
        <w:rPr>
          <w:rFonts w:ascii="宋体" w:hAnsi="宋体" w:hint="eastAsia"/>
          <w:bCs/>
          <w:sz w:val="24"/>
        </w:rPr>
        <w:lastRenderedPageBreak/>
        <w:t>行。</w:t>
      </w:r>
    </w:p>
    <w:p w14:paraId="6F36E04E" w14:textId="0E32A320" w:rsidR="00255B24" w:rsidRDefault="00F94547">
      <w:pPr>
        <w:adjustRightInd w:val="0"/>
        <w:snapToGrid w:val="0"/>
        <w:spacing w:line="360" w:lineRule="auto"/>
        <w:ind w:firstLineChars="200" w:firstLine="480"/>
        <w:rPr>
          <w:rFonts w:ascii="宋体" w:hAnsi="宋体" w:cs="Arial"/>
        </w:rPr>
      </w:pPr>
      <w:r>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若管理人未提供交易对手名单，则视同可与所有交易对手进行交易</w:t>
      </w:r>
      <w:r>
        <w:rPr>
          <w:rFonts w:ascii="宋体" w:hAnsi="宋体" w:cs="Arial"/>
          <w:sz w:val="24"/>
        </w:rPr>
        <w:t>）</w:t>
      </w:r>
      <w:r>
        <w:rPr>
          <w:rFonts w:ascii="宋体" w:hAnsi="宋体" w:cs="Arial" w:hint="eastAsia"/>
          <w:sz w:val="24"/>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新名单确定前已与本次剔除的交易对手所进行但尚未结算的交易，仍应按照协议进行结算。如基金管理人根据市场情况需要临时调整银行间债券市场交易对手名单及结算方式的，应与基金托管人协商解决。</w:t>
      </w:r>
    </w:p>
    <w:p w14:paraId="2747FF4E" w14:textId="7F680BEC" w:rsidR="00255B24" w:rsidRPr="007E0E31" w:rsidRDefault="00F94547">
      <w:pPr>
        <w:adjustRightInd w:val="0"/>
        <w:snapToGrid w:val="0"/>
        <w:spacing w:line="360" w:lineRule="auto"/>
        <w:ind w:firstLineChars="200" w:firstLine="480"/>
        <w:rPr>
          <w:szCs w:val="21"/>
        </w:rPr>
      </w:pPr>
      <w:r>
        <w:rPr>
          <w:rFonts w:ascii="宋体" w:hAnsi="宋体" w:cs="Arial" w:hint="eastAsia"/>
          <w:color w:val="000000"/>
          <w:sz w:val="24"/>
        </w:rPr>
        <w:t>基金管理人负责对交易对手的资信控制，按银行间债券市场的交易规则进行交易，并</w:t>
      </w:r>
      <w:r>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w:t>
      </w:r>
      <w:r>
        <w:rPr>
          <w:rStyle w:val="af7"/>
          <w:rFonts w:hint="eastAsia"/>
        </w:rPr>
        <w:t>，</w:t>
      </w:r>
      <w:r>
        <w:rPr>
          <w:rFonts w:ascii="宋体" w:hAnsi="宋体" w:cs="Arial" w:hint="eastAsia"/>
          <w:color w:val="000000"/>
          <w:sz w:val="24"/>
        </w:rPr>
        <w:t>基金托管人不承担由此造成的任何损失和责任。</w:t>
      </w:r>
    </w:p>
    <w:p w14:paraId="69C557C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（五）基金托管人根据有关法律法规的规定及《基金合同》的约定，对基金管理人投资流通受限证券进行监督。</w:t>
      </w:r>
    </w:p>
    <w:p w14:paraId="52C624D8" w14:textId="559E5A17" w:rsidR="00255B24" w:rsidRDefault="00F94547">
      <w:pPr>
        <w:adjustRightInd w:val="0"/>
        <w:snapToGrid w:val="0"/>
        <w:spacing w:line="360" w:lineRule="auto"/>
        <w:ind w:firstLineChars="200" w:firstLine="480"/>
        <w:rPr>
          <w:rFonts w:ascii="宋体" w:hAnsi="宋体" w:cs="Arial"/>
          <w:sz w:val="24"/>
        </w:rPr>
      </w:pPr>
      <w:r>
        <w:rPr>
          <w:rFonts w:ascii="宋体" w:hAnsi="宋体" w:hint="eastAsia"/>
          <w:sz w:val="24"/>
        </w:rPr>
        <w:t>基金管理人投资流通受限证券，应事先根据中国证监会相关规定，明确基金投资流通受限证券的比例，</w:t>
      </w:r>
      <w:r>
        <w:rPr>
          <w:rFonts w:ascii="宋体" w:hAnsi="宋体" w:cs="Arial" w:hint="eastAsia"/>
          <w:sz w:val="24"/>
        </w:rPr>
        <w:t>制订严格的投资决策流程和风险控制制度，防范流动性风险、法律风险和操作风险等各种风险。</w:t>
      </w:r>
    </w:p>
    <w:p w14:paraId="547D730A" w14:textId="77777777" w:rsidR="00255B24" w:rsidRDefault="00F94547">
      <w:pPr>
        <w:adjustRightInd w:val="0"/>
        <w:snapToGrid w:val="0"/>
        <w:spacing w:line="360" w:lineRule="auto"/>
        <w:ind w:firstLineChars="200" w:firstLine="480"/>
        <w:rPr>
          <w:rFonts w:ascii="宋体" w:hAnsi="宋体"/>
          <w:sz w:val="24"/>
        </w:rPr>
      </w:pPr>
      <w:r>
        <w:rPr>
          <w:rFonts w:ascii="宋体" w:hAnsi="宋体" w:cs="Arial" w:hint="eastAsia"/>
          <w:sz w:val="24"/>
        </w:rPr>
        <w:t>1.本基金</w:t>
      </w:r>
      <w:r>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rPr>
        <w:t>券</w:t>
      </w:r>
      <w:proofErr w:type="gramEnd"/>
      <w:r>
        <w:rPr>
          <w:rFonts w:ascii="宋体" w:hAnsi="宋体" w:hint="eastAsia"/>
          <w:sz w:val="24"/>
        </w:rPr>
        <w:t>等流通受限证券。本基金不投资有</w:t>
      </w:r>
      <w:proofErr w:type="gramStart"/>
      <w:r>
        <w:rPr>
          <w:rFonts w:ascii="宋体" w:hAnsi="宋体" w:hint="eastAsia"/>
          <w:sz w:val="24"/>
        </w:rPr>
        <w:t>锁定期但锁定</w:t>
      </w:r>
      <w:proofErr w:type="gramEnd"/>
      <w:r>
        <w:rPr>
          <w:rFonts w:ascii="宋体" w:hAnsi="宋体" w:hint="eastAsia"/>
          <w:sz w:val="24"/>
        </w:rPr>
        <w:t>期不明确的证券。</w:t>
      </w:r>
    </w:p>
    <w:p w14:paraId="6BB3373F" w14:textId="77777777" w:rsidR="00255B24" w:rsidRDefault="00F94547">
      <w:pPr>
        <w:spacing w:line="360" w:lineRule="auto"/>
        <w:ind w:firstLineChars="200" w:firstLine="480"/>
        <w:rPr>
          <w:rFonts w:ascii="宋体" w:hAnsi="宋体"/>
          <w:sz w:val="24"/>
        </w:rPr>
      </w:pPr>
      <w:r>
        <w:rPr>
          <w:rFonts w:ascii="宋体" w:hAnsi="宋体" w:cs="Arial" w:hint="eastAsia"/>
          <w:sz w:val="24"/>
        </w:rPr>
        <w:t>本基金</w:t>
      </w:r>
      <w:r>
        <w:rPr>
          <w:rFonts w:ascii="宋体" w:hAnsi="宋体" w:hint="eastAsia"/>
          <w:sz w:val="24"/>
        </w:rPr>
        <w:t>投资的流通受限证券限于可由中国证券登记结算有限责任公司或中央国债登记结算有限责任公司负责登记和存管，并可在证券交易所或全国银行间债</w:t>
      </w:r>
      <w:r>
        <w:rPr>
          <w:rFonts w:ascii="宋体" w:hAnsi="宋体" w:hint="eastAsia"/>
          <w:sz w:val="24"/>
        </w:rPr>
        <w:lastRenderedPageBreak/>
        <w:t>券市场交易的证券。</w:t>
      </w:r>
    </w:p>
    <w:p w14:paraId="555B6C50" w14:textId="77777777" w:rsidR="00255B24" w:rsidRDefault="00F94547">
      <w:pPr>
        <w:adjustRightInd w:val="0"/>
        <w:snapToGrid w:val="0"/>
        <w:spacing w:line="360" w:lineRule="auto"/>
        <w:ind w:firstLineChars="200" w:firstLine="480"/>
        <w:rPr>
          <w:rFonts w:ascii="宋体" w:hAnsi="宋体"/>
          <w:sz w:val="24"/>
        </w:rPr>
      </w:pPr>
      <w:r>
        <w:rPr>
          <w:rFonts w:ascii="宋体" w:hAnsi="宋体" w:cs="Arial" w:hint="eastAsia"/>
          <w:sz w:val="24"/>
        </w:rPr>
        <w:t>本基金</w:t>
      </w:r>
      <w:r>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Pr>
          <w:rFonts w:ascii="宋体" w:hAnsi="宋体" w:hint="eastAsia"/>
          <w:sz w:val="24"/>
        </w:rPr>
        <w:t>人原因</w:t>
      </w:r>
      <w:proofErr w:type="gramEnd"/>
      <w:r>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14:paraId="694FF4FC" w14:textId="5B6F16D1" w:rsidR="00255B24" w:rsidRDefault="00F94547">
      <w:pPr>
        <w:spacing w:line="360" w:lineRule="auto"/>
        <w:ind w:firstLineChars="200" w:firstLine="480"/>
        <w:rPr>
          <w:rFonts w:ascii="宋体" w:hAnsi="宋体"/>
          <w:sz w:val="24"/>
        </w:rPr>
      </w:pPr>
      <w:r>
        <w:rPr>
          <w:rFonts w:ascii="宋体" w:hAnsi="宋体" w:cs="Arial" w:hint="eastAsia"/>
          <w:sz w:val="24"/>
        </w:rPr>
        <w:t>2.</w:t>
      </w:r>
      <w:r>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22A3AB5F" w14:textId="4FCB281E" w:rsidR="00255B24" w:rsidRDefault="00F94547">
      <w:pPr>
        <w:spacing w:line="36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 w:val="24"/>
        </w:rPr>
        <w:t>人原因</w:t>
      </w:r>
      <w:proofErr w:type="gramEnd"/>
      <w:r>
        <w:rPr>
          <w:rFonts w:ascii="宋体" w:hAnsi="宋体" w:hint="eastAsia"/>
          <w:sz w:val="24"/>
        </w:rPr>
        <w:t>导致本基金出现损失致使基金托管人承担连带赔偿责任的，基金管理人应赔偿基金托管人由此遭受的损失。</w:t>
      </w:r>
    </w:p>
    <w:p w14:paraId="02B61952" w14:textId="77777777" w:rsidR="00255B24" w:rsidRDefault="00F94547">
      <w:pPr>
        <w:spacing w:line="360" w:lineRule="auto"/>
        <w:ind w:firstLineChars="200" w:firstLine="480"/>
        <w:rPr>
          <w:rFonts w:ascii="宋体" w:hAnsi="宋体"/>
          <w:sz w:val="24"/>
        </w:rPr>
      </w:pPr>
      <w:r>
        <w:rPr>
          <w:rFonts w:ascii="宋体" w:hAnsi="宋体" w:cs="Arial" w:hint="eastAsia"/>
          <w:sz w:val="24"/>
        </w:rPr>
        <w:t>3.</w:t>
      </w:r>
      <w:r>
        <w:rPr>
          <w:rFonts w:ascii="宋体" w:hAnsi="宋体" w:hint="eastAsia"/>
          <w:sz w:val="24"/>
        </w:rPr>
        <w:t>本基金投资非公开发行股票，基金管理人应至少于投资前两个工作日向基金托管人提交有关书面资料，并保证向基金托管人提供的有关资料真实、准确、完整。有关资料如有调整，基金管理人应及时提供调整后的资料。上述书面资料包括但不限于：</w:t>
      </w:r>
    </w:p>
    <w:p w14:paraId="1EF5FD83" w14:textId="77777777" w:rsidR="00255B24" w:rsidRDefault="00F94547">
      <w:pPr>
        <w:spacing w:line="360" w:lineRule="auto"/>
        <w:ind w:firstLineChars="200" w:firstLine="480"/>
        <w:rPr>
          <w:rFonts w:ascii="宋体" w:hAnsi="宋体"/>
          <w:sz w:val="24"/>
        </w:rPr>
      </w:pPr>
      <w:r>
        <w:rPr>
          <w:rFonts w:ascii="宋体" w:hAnsi="宋体" w:hint="eastAsia"/>
          <w:sz w:val="24"/>
        </w:rPr>
        <w:t>（1）中国证监会批准发行非公开发行股票的批准文件。</w:t>
      </w:r>
    </w:p>
    <w:p w14:paraId="5E0B5033" w14:textId="77777777" w:rsidR="00255B24" w:rsidRDefault="00F94547">
      <w:pPr>
        <w:spacing w:line="360" w:lineRule="auto"/>
        <w:ind w:firstLineChars="200" w:firstLine="480"/>
        <w:rPr>
          <w:rFonts w:ascii="宋体" w:hAnsi="宋体"/>
          <w:sz w:val="24"/>
        </w:rPr>
      </w:pPr>
      <w:r>
        <w:rPr>
          <w:rFonts w:ascii="宋体" w:hAnsi="宋体" w:hint="eastAsia"/>
          <w:sz w:val="24"/>
        </w:rPr>
        <w:t>（2）非公开发行股票有关发行数量、发行价格、锁定期等发行资料。</w:t>
      </w:r>
    </w:p>
    <w:p w14:paraId="08B056DE" w14:textId="5D918F55" w:rsidR="00255B24" w:rsidRDefault="00F94547">
      <w:pPr>
        <w:adjustRightInd w:val="0"/>
        <w:snapToGrid w:val="0"/>
        <w:spacing w:line="360" w:lineRule="auto"/>
        <w:ind w:firstLineChars="200" w:firstLine="480"/>
        <w:rPr>
          <w:rFonts w:ascii="宋体" w:hAnsi="宋体" w:cs="Arial"/>
          <w:sz w:val="24"/>
        </w:rPr>
      </w:pPr>
      <w:r>
        <w:rPr>
          <w:rFonts w:ascii="宋体" w:hAnsi="宋体" w:hint="eastAsia"/>
          <w:sz w:val="24"/>
        </w:rPr>
        <w:t>（</w:t>
      </w:r>
      <w:r>
        <w:rPr>
          <w:rFonts w:ascii="宋体" w:hAnsi="宋体"/>
          <w:sz w:val="24"/>
        </w:rPr>
        <w:t>3</w:t>
      </w:r>
      <w:r>
        <w:rPr>
          <w:rFonts w:ascii="宋体" w:hAnsi="宋体" w:hint="eastAsia"/>
          <w:sz w:val="24"/>
        </w:rPr>
        <w:t>）基金拟认购的数量、价格、总成本、账面价值。</w:t>
      </w:r>
    </w:p>
    <w:p w14:paraId="70014029" w14:textId="77777777" w:rsidR="00255B24" w:rsidRDefault="00F94547">
      <w:pPr>
        <w:spacing w:line="360" w:lineRule="auto"/>
        <w:ind w:firstLineChars="200" w:firstLine="480"/>
        <w:rPr>
          <w:rFonts w:ascii="宋体" w:hAnsi="宋体"/>
          <w:sz w:val="24"/>
        </w:rPr>
      </w:pPr>
      <w:r>
        <w:rPr>
          <w:rFonts w:ascii="宋体" w:hAnsi="宋体" w:cs="Arial" w:hint="eastAsia"/>
          <w:sz w:val="24"/>
        </w:rPr>
        <w:t>4.</w:t>
      </w:r>
      <w:r>
        <w:rPr>
          <w:rFonts w:ascii="宋体" w:hAnsi="宋体"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7B0769F7" w14:textId="77777777" w:rsidR="00255B24" w:rsidRDefault="00F94547">
      <w:pPr>
        <w:spacing w:line="360" w:lineRule="auto"/>
        <w:ind w:firstLineChars="200" w:firstLine="480"/>
        <w:rPr>
          <w:rFonts w:ascii="宋体" w:hAnsi="宋体"/>
          <w:sz w:val="24"/>
        </w:rPr>
      </w:pPr>
      <w:r>
        <w:rPr>
          <w:rFonts w:ascii="宋体" w:hAnsi="宋体" w:hint="eastAsia"/>
          <w:sz w:val="24"/>
        </w:rPr>
        <w:t>本基金有关投资流通受限证券比例如违反有关限制规定，在合理期限内未能进行及时调整，基金管理人应依规定编制临时报告书，予以公告。</w:t>
      </w:r>
    </w:p>
    <w:p w14:paraId="1E9F5A5E" w14:textId="05C6FEBA" w:rsidR="00255B24" w:rsidRDefault="00F94547">
      <w:pPr>
        <w:adjustRightInd w:val="0"/>
        <w:snapToGrid w:val="0"/>
        <w:spacing w:line="360" w:lineRule="auto"/>
        <w:ind w:firstLineChars="200" w:firstLine="480"/>
        <w:rPr>
          <w:rFonts w:ascii="宋体" w:hAnsi="宋体"/>
          <w:sz w:val="24"/>
        </w:rPr>
      </w:pPr>
      <w:r>
        <w:rPr>
          <w:rFonts w:ascii="宋体" w:hAnsi="宋体" w:cs="Arial"/>
          <w:sz w:val="24"/>
        </w:rPr>
        <w:t>5</w:t>
      </w:r>
      <w:r>
        <w:rPr>
          <w:rFonts w:ascii="宋体" w:hAnsi="宋体" w:cs="Arial" w:hint="eastAsia"/>
          <w:sz w:val="24"/>
        </w:rPr>
        <w:t>.</w:t>
      </w:r>
      <w:r>
        <w:rPr>
          <w:rFonts w:ascii="宋体" w:hAnsi="宋体" w:hint="eastAsia"/>
          <w:sz w:val="24"/>
        </w:rPr>
        <w:t>相关法律法规对基金投资流通受限证券有新规定的，从其规定。</w:t>
      </w:r>
    </w:p>
    <w:p w14:paraId="467321B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9E0FC4A" w14:textId="1F8DF48E"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两个工作日内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247A8D3" w14:textId="24B752A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B29B10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（九）</w:t>
      </w:r>
      <w:proofErr w:type="gramStart"/>
      <w:r>
        <w:rPr>
          <w:rFonts w:ascii="宋体" w:hAnsi="宋体" w:cs="Arial" w:hint="eastAsia"/>
          <w:sz w:val="24"/>
        </w:rPr>
        <w:t>若基金</w:t>
      </w:r>
      <w:proofErr w:type="gramEnd"/>
      <w:r>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697923A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759636E" w14:textId="77777777" w:rsidR="00255B24" w:rsidRDefault="00F94547">
      <w:pPr>
        <w:spacing w:line="360" w:lineRule="auto"/>
        <w:ind w:firstLineChars="200" w:firstLine="480"/>
        <w:rPr>
          <w:bCs/>
          <w:sz w:val="24"/>
          <w:szCs w:val="20"/>
        </w:rPr>
      </w:pPr>
      <w:r>
        <w:rPr>
          <w:rFonts w:hint="eastAsia"/>
          <w:bCs/>
          <w:sz w:val="24"/>
        </w:rPr>
        <w:t>（十一）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6B4861C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基金托管人依照相关法律法规的规定和基金合同的约定，对侧</w:t>
      </w:r>
      <w:proofErr w:type="gramStart"/>
      <w:r>
        <w:rPr>
          <w:rFonts w:ascii="宋体" w:hAnsi="宋体" w:cs="Arial" w:hint="eastAsia"/>
          <w:sz w:val="24"/>
        </w:rPr>
        <w:t>袋机制</w:t>
      </w:r>
      <w:proofErr w:type="gramEnd"/>
      <w:r>
        <w:rPr>
          <w:rFonts w:ascii="宋体" w:hAnsi="宋体" w:cs="Arial" w:hint="eastAsia"/>
          <w:sz w:val="24"/>
        </w:rPr>
        <w:t>启用、特定资产处置和信息披露等方面进行复核和监督。</w:t>
      </w:r>
      <w:proofErr w:type="gramStart"/>
      <w:r>
        <w:rPr>
          <w:rFonts w:ascii="宋体" w:hAnsi="宋体" w:cs="Arial" w:hint="eastAsia"/>
          <w:sz w:val="24"/>
        </w:rPr>
        <w:t>侧袋机制</w:t>
      </w:r>
      <w:proofErr w:type="gramEnd"/>
      <w:r>
        <w:rPr>
          <w:rFonts w:ascii="宋体" w:hAnsi="宋体" w:cs="Arial" w:hint="eastAsia"/>
          <w:sz w:val="24"/>
        </w:rPr>
        <w:t>实施期间的具体规则依</w:t>
      </w:r>
      <w:r>
        <w:rPr>
          <w:rFonts w:ascii="宋体" w:hAnsi="宋体" w:cs="Arial" w:hint="eastAsia"/>
          <w:sz w:val="24"/>
        </w:rPr>
        <w:lastRenderedPageBreak/>
        <w:t>照相关法律法规的规定和基金合同的约定执行。</w:t>
      </w:r>
    </w:p>
    <w:p w14:paraId="52DC01EF" w14:textId="77777777" w:rsidR="00255B24" w:rsidRDefault="00F94547">
      <w:pPr>
        <w:widowControl/>
        <w:jc w:val="left"/>
        <w:rPr>
          <w:rFonts w:ascii="宋体" w:hAnsi="宋体"/>
          <w:sz w:val="24"/>
        </w:rPr>
      </w:pPr>
      <w:r>
        <w:rPr>
          <w:rFonts w:ascii="宋体" w:hAnsi="宋体"/>
          <w:sz w:val="24"/>
        </w:rPr>
        <w:br w:type="page"/>
      </w:r>
    </w:p>
    <w:p w14:paraId="5D43045D" w14:textId="77777777" w:rsidR="00255B24" w:rsidRDefault="00F94547">
      <w:pPr>
        <w:pStyle w:val="2"/>
        <w:spacing w:before="0" w:after="0" w:line="360" w:lineRule="auto"/>
        <w:jc w:val="center"/>
        <w:rPr>
          <w:rFonts w:ascii="宋体" w:eastAsia="宋体" w:hAnsi="宋体"/>
          <w:sz w:val="30"/>
        </w:rPr>
      </w:pPr>
      <w:bookmarkStart w:id="8" w:name="_Toc118972648"/>
      <w:bookmarkStart w:id="9" w:name="_Toc114149842"/>
      <w:bookmarkStart w:id="10" w:name="_Toc86727355"/>
      <w:bookmarkStart w:id="11" w:name="_Toc118774803"/>
      <w:bookmarkStart w:id="12" w:name="_Toc110761796"/>
      <w:bookmarkStart w:id="13" w:name="_Toc86223242"/>
      <w:bookmarkStart w:id="14" w:name="_Toc110830492"/>
      <w:bookmarkStart w:id="15" w:name="_Toc89163368"/>
      <w:bookmarkStart w:id="16" w:name="_Toc86737929"/>
      <w:bookmarkStart w:id="17" w:name="_Toc86649722"/>
      <w:bookmarkStart w:id="18" w:name="_Toc119402710"/>
      <w:bookmarkStart w:id="19" w:name="_Toc86225291"/>
      <w:bookmarkStart w:id="20" w:name="_Toc108512358"/>
      <w:bookmarkStart w:id="21" w:name="_Toc86726439"/>
      <w:bookmarkStart w:id="22" w:name="_Toc110765660"/>
      <w:bookmarkStart w:id="23" w:name="_Toc118212950"/>
      <w:bookmarkStart w:id="24" w:name="_Toc120435783"/>
      <w:r>
        <w:rPr>
          <w:rFonts w:ascii="宋体" w:eastAsia="宋体" w:hAnsi="宋体" w:hint="eastAsia"/>
          <w:sz w:val="30"/>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F0B5C1E"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21D9E02A"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Arial" w:hint="eastAsia"/>
          <w:sz w:val="24"/>
        </w:rPr>
        <w:t>供基金</w:t>
      </w:r>
      <w:proofErr w:type="gramEnd"/>
      <w:r>
        <w:rPr>
          <w:rFonts w:ascii="宋体" w:hAnsi="宋体" w:cs="Arial" w:hint="eastAsia"/>
          <w:sz w:val="24"/>
        </w:rPr>
        <w:t>管理人核查托管财产的完整性和真实性，在规定时间内答复基金管理人并改正。</w:t>
      </w:r>
    </w:p>
    <w:p w14:paraId="3E796913"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2C0D21F" w14:textId="77777777" w:rsidR="00255B24" w:rsidRDefault="00F94547">
      <w:pPr>
        <w:widowControl/>
        <w:jc w:val="left"/>
        <w:rPr>
          <w:rFonts w:ascii="宋体" w:hAnsi="宋体"/>
          <w:sz w:val="24"/>
        </w:rPr>
      </w:pPr>
      <w:r>
        <w:rPr>
          <w:rFonts w:ascii="宋体" w:hAnsi="宋体"/>
          <w:sz w:val="24"/>
        </w:rPr>
        <w:br w:type="page"/>
      </w:r>
    </w:p>
    <w:p w14:paraId="4A49CF65" w14:textId="77777777" w:rsidR="00255B24" w:rsidRDefault="00F94547">
      <w:pPr>
        <w:pStyle w:val="2"/>
        <w:spacing w:before="0" w:after="0" w:line="360" w:lineRule="auto"/>
        <w:jc w:val="center"/>
        <w:rPr>
          <w:rFonts w:ascii="宋体" w:eastAsia="宋体" w:hAnsi="宋体"/>
          <w:sz w:val="30"/>
        </w:rPr>
      </w:pPr>
      <w:bookmarkStart w:id="25" w:name="_Toc120435784"/>
      <w:bookmarkStart w:id="26" w:name="_Toc86726440"/>
      <w:bookmarkStart w:id="27" w:name="_Toc89163369"/>
      <w:bookmarkStart w:id="28" w:name="_Toc84133786"/>
      <w:bookmarkStart w:id="29" w:name="_Toc114149843"/>
      <w:bookmarkStart w:id="30" w:name="_Toc86737930"/>
      <w:bookmarkStart w:id="31" w:name="_Toc118972649"/>
      <w:bookmarkStart w:id="32" w:name="_Toc86727356"/>
      <w:bookmarkStart w:id="33" w:name="_Toc119402711"/>
      <w:bookmarkStart w:id="34" w:name="_Toc86223243"/>
      <w:bookmarkStart w:id="35" w:name="_Toc86225292"/>
      <w:bookmarkStart w:id="36" w:name="_Toc110761797"/>
      <w:bookmarkStart w:id="37" w:name="_Toc86649723"/>
      <w:bookmarkStart w:id="38" w:name="_Toc118774804"/>
      <w:bookmarkStart w:id="39" w:name="_Toc108512359"/>
      <w:bookmarkStart w:id="40" w:name="_Toc118212951"/>
      <w:bookmarkStart w:id="41" w:name="_Toc86204789"/>
      <w:bookmarkStart w:id="42" w:name="_Toc84234435"/>
      <w:bookmarkStart w:id="43" w:name="_Toc84234388"/>
      <w:bookmarkStart w:id="44" w:name="_Toc110765661"/>
      <w:bookmarkStart w:id="45" w:name="_Toc110830493"/>
      <w:r>
        <w:rPr>
          <w:rFonts w:ascii="宋体" w:eastAsia="宋体" w:hAnsi="宋体" w:hint="eastAsia"/>
          <w:sz w:val="30"/>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CA63142"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（一）基金财产保管的原则</w:t>
      </w:r>
    </w:p>
    <w:p w14:paraId="5EBC631A"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1.基金财产应独立于基金管理人、基金托管人的固有财产。</w:t>
      </w:r>
    </w:p>
    <w:p w14:paraId="7C32CA23"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2.基金托管人应安全保管基金财产。</w:t>
      </w:r>
    </w:p>
    <w:p w14:paraId="43819DEC"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3.基金托管人按照规定开设基金财产的资金账户和证券账户等投资所需账户。</w:t>
      </w:r>
    </w:p>
    <w:p w14:paraId="5E942E4A"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4.基金托管人对所托管的不同基金财产分别设置账户，确保基金财产的完整与独立。</w:t>
      </w:r>
    </w:p>
    <w:p w14:paraId="75C0B8A0"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5.基金托管人按照《基金合同》和本协议的约定保管基金财产，如有特殊情况双方可另行协商解决。基金</w:t>
      </w:r>
      <w:r>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宋体" w:hAnsi="宋体" w:hint="eastAsia"/>
          <w:sz w:val="24"/>
        </w:rPr>
        <w:t>收交易</w:t>
      </w:r>
      <w:proofErr w:type="gramEnd"/>
      <w:r>
        <w:rPr>
          <w:rFonts w:ascii="宋体" w:hAnsi="宋体" w:hint="eastAsia"/>
          <w:sz w:val="24"/>
        </w:rPr>
        <w:t>费、结算费和账户维护费等费用）。</w:t>
      </w:r>
    </w:p>
    <w:p w14:paraId="7D77D9F7" w14:textId="27EAA6C3"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FC335C2"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7.除依据法律法规和《基金合同》的规定外，基金托管人不得委托第三人托管基金财产。</w:t>
      </w:r>
    </w:p>
    <w:p w14:paraId="2EF23AE1"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（二）基金募集期间及募集资金的验资</w:t>
      </w:r>
    </w:p>
    <w:p w14:paraId="1DC996B1"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1.基金募集期间募集的资金应存于基金管理人在基金托管人的营业机构开立的“基金募集专户”。该账户由基金管理人开立并管理。</w:t>
      </w:r>
    </w:p>
    <w:p w14:paraId="59A6CCAE"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2.基金募集期满或基金停止募集时，发起资金认购金额及承诺持有期限符合《基金法》、《</w:t>
      </w:r>
      <w:r>
        <w:rPr>
          <w:rFonts w:hint="eastAsia"/>
          <w:bCs/>
          <w:sz w:val="24"/>
        </w:rPr>
        <w:t>公开</w:t>
      </w:r>
      <w:r>
        <w:rPr>
          <w:bCs/>
          <w:sz w:val="24"/>
        </w:rPr>
        <w:t>募集证券投资基金运作管理办法</w:t>
      </w:r>
      <w:r>
        <w:rPr>
          <w:rFonts w:ascii="宋体" w:hAnsi="宋体" w:cs="Arial" w:hint="eastAsia"/>
          <w:sz w:val="24"/>
        </w:rPr>
        <w:t>》等有关规定后，基金管理人应将属于基金财产的全部资金划入基金托管人开立的基金银行账户，同时在规定时间内，聘请</w:t>
      </w:r>
      <w:r>
        <w:rPr>
          <w:rFonts w:ascii="宋体" w:hAnsi="宋体" w:cs="Arial" w:hint="eastAsia"/>
          <w:bCs/>
          <w:sz w:val="24"/>
        </w:rPr>
        <w:t>符合《中华人民共和国证券法》（以下简称“《证券法》”）规定</w:t>
      </w:r>
      <w:r>
        <w:rPr>
          <w:rFonts w:ascii="宋体" w:hAnsi="宋体" w:cs="Arial" w:hint="eastAsia"/>
          <w:sz w:val="24"/>
        </w:rPr>
        <w:t>的会计师事务所进行验资，出具验资报告，验资报告需对发起资金提供方及其持有份额进行专门说明。出具的验资报告由参加验资的2名或2名以上中国注册会计师签字方为有效。</w:t>
      </w:r>
    </w:p>
    <w:p w14:paraId="6F071AE1"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3.</w:t>
      </w:r>
      <w:proofErr w:type="gramStart"/>
      <w:r>
        <w:rPr>
          <w:rFonts w:ascii="宋体" w:hAnsi="宋体" w:cs="Arial" w:hint="eastAsia"/>
          <w:sz w:val="24"/>
        </w:rPr>
        <w:t>若基金</w:t>
      </w:r>
      <w:proofErr w:type="gramEnd"/>
      <w:r>
        <w:rPr>
          <w:rFonts w:ascii="宋体" w:hAnsi="宋体" w:cs="Arial" w:hint="eastAsia"/>
          <w:sz w:val="24"/>
        </w:rPr>
        <w:t>募集期限届满，未能达到《基金合同》生效的条件，由基金管理人按</w:t>
      </w:r>
      <w:r>
        <w:rPr>
          <w:rFonts w:ascii="宋体" w:hAnsi="宋体" w:cs="Arial" w:hint="eastAsia"/>
          <w:sz w:val="24"/>
        </w:rPr>
        <w:lastRenderedPageBreak/>
        <w:t>规定办理退款等事宜。</w:t>
      </w:r>
    </w:p>
    <w:p w14:paraId="7E9F2A9D"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（三）基金银行账户的开立和管理</w:t>
      </w:r>
    </w:p>
    <w:p w14:paraId="3B32B30F"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1.基金托管人应以本基金的名义在其营业机构开立基金的银行账户，并根据基金管理人合法合</w:t>
      </w:r>
      <w:proofErr w:type="gramStart"/>
      <w:r>
        <w:rPr>
          <w:rFonts w:ascii="宋体" w:hAnsi="宋体" w:cs="Arial" w:hint="eastAsia"/>
          <w:sz w:val="24"/>
        </w:rPr>
        <w:t>规</w:t>
      </w:r>
      <w:proofErr w:type="gramEnd"/>
      <w:r>
        <w:rPr>
          <w:rFonts w:ascii="宋体" w:hAnsi="宋体" w:cs="Arial" w:hint="eastAsia"/>
          <w:sz w:val="24"/>
        </w:rPr>
        <w:t>的指令办理资金收付。本基金的银行预留印鉴由基金托管人保管和使用。</w:t>
      </w:r>
    </w:p>
    <w:p w14:paraId="230C2131"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3620701"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3.基金银行账户的开立和管理应符合银行业监督管理机构的有关规定。</w:t>
      </w:r>
    </w:p>
    <w:p w14:paraId="02B37FAB"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4.在符合法律法规规定的条件下，基金托管人可以通过基金托管人专用账户办理基金资产的支付。</w:t>
      </w:r>
    </w:p>
    <w:p w14:paraId="3B356F7B"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791BC99F"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（四）基金证券账户和结算备付金账户的开立和管理</w:t>
      </w:r>
    </w:p>
    <w:p w14:paraId="3A12C0F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1.基金托管人在中国证券登记结算有限责任公司为基金开立基金托管人与基金联名的证券账户。</w:t>
      </w:r>
    </w:p>
    <w:p w14:paraId="7C8276D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416C4A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3.基金证券账户的开立和证券账户卡的保管由基金托管人负责，账户资产的管理和运用由基金管理人负责。</w:t>
      </w:r>
    </w:p>
    <w:p w14:paraId="6883999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BA7AB38" w14:textId="6F367613"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宋体" w:hAnsi="宋体" w:cs="Arial" w:hint="eastAsia"/>
          <w:sz w:val="24"/>
        </w:rPr>
        <w:t>收资金</w:t>
      </w:r>
      <w:proofErr w:type="gramEnd"/>
      <w:r>
        <w:rPr>
          <w:rFonts w:ascii="宋体" w:hAnsi="宋体" w:cs="Arial" w:hint="eastAsia"/>
          <w:sz w:val="24"/>
        </w:rPr>
        <w:t>等的收取按照中国证券登记结算有限责任公司的规定</w:t>
      </w:r>
      <w:r w:rsidRPr="007E0E31">
        <w:rPr>
          <w:rFonts w:ascii="宋体" w:hAnsi="宋体" w:cs="Arial"/>
          <w:sz w:val="24"/>
        </w:rPr>
        <w:t>以及基金管理人与基金托管人签署的《托管银行证券资金结算协议》</w:t>
      </w:r>
      <w:r>
        <w:rPr>
          <w:rFonts w:ascii="宋体" w:hAnsi="宋体" w:cs="Arial" w:hint="eastAsia"/>
          <w:sz w:val="24"/>
        </w:rPr>
        <w:t>执行。</w:t>
      </w:r>
    </w:p>
    <w:p w14:paraId="1991933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5.账户注销时，由基金管理人依据中国证券登记结算有限责任公司相关规定，委托有交易关系的证券公司负责办理。销户完成后，基金管理人需将相关证明提供至基金托管人。账户注销期间如</w:t>
      </w:r>
      <w:proofErr w:type="gramStart"/>
      <w:r>
        <w:rPr>
          <w:rFonts w:ascii="宋体" w:hAnsi="宋体" w:cs="Arial" w:hint="eastAsia"/>
          <w:sz w:val="24"/>
        </w:rPr>
        <w:t>需基金</w:t>
      </w:r>
      <w:proofErr w:type="gramEnd"/>
      <w:r>
        <w:rPr>
          <w:rFonts w:ascii="宋体" w:hAnsi="宋体" w:cs="Arial" w:hint="eastAsia"/>
          <w:sz w:val="24"/>
        </w:rPr>
        <w:t>托管人提供配合的，基金托管人应予以配合。</w:t>
      </w:r>
    </w:p>
    <w:p w14:paraId="00C8BB4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宋体" w:hAnsi="宋体" w:cs="Arial" w:hint="eastAsia"/>
          <w:sz w:val="24"/>
        </w:rPr>
        <w:t>则基金</w:t>
      </w:r>
      <w:proofErr w:type="gramEnd"/>
      <w:r>
        <w:rPr>
          <w:rFonts w:ascii="宋体" w:hAnsi="宋体" w:cs="Arial" w:hint="eastAsia"/>
          <w:sz w:val="24"/>
        </w:rPr>
        <w:t>托管人比照上述关于账户开立、使用的规定执行。</w:t>
      </w:r>
    </w:p>
    <w:p w14:paraId="2FC4A18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（五）债券托管专户的开设和管理</w:t>
      </w:r>
    </w:p>
    <w:p w14:paraId="25749321" w14:textId="6315D729"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12580EB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（六）其他账户的开立和管理</w:t>
      </w:r>
    </w:p>
    <w:p w14:paraId="5739148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3D5C35B"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2.法律法规等有关规定对相关账户的开立和管理另有规定的，从其规定办理。</w:t>
      </w:r>
    </w:p>
    <w:p w14:paraId="7AB45000"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（七）基金财产投资的有关有价凭证等的保管</w:t>
      </w:r>
    </w:p>
    <w:p w14:paraId="726DF6F3" w14:textId="77777777" w:rsidR="00255B24" w:rsidRDefault="00F94547">
      <w:pPr>
        <w:adjustRightInd w:val="0"/>
        <w:snapToGrid w:val="0"/>
        <w:spacing w:line="360" w:lineRule="auto"/>
        <w:ind w:firstLineChars="200" w:firstLine="480"/>
        <w:rPr>
          <w:rFonts w:ascii="宋体" w:hAnsi="宋体" w:cs="Arial"/>
        </w:rPr>
      </w:pPr>
      <w:r>
        <w:rPr>
          <w:rFonts w:ascii="宋体" w:hAnsi="宋体" w:cs="Arial" w:hint="eastAsia"/>
          <w:sz w:val="24"/>
        </w:rPr>
        <w:t>基金财产投资的有关实物证券、银行</w:t>
      </w:r>
      <w:r>
        <w:rPr>
          <w:rFonts w:ascii="宋体" w:hAnsi="宋体" w:hint="eastAsia"/>
          <w:sz w:val="24"/>
        </w:rPr>
        <w:t>存款开户证实书</w:t>
      </w:r>
      <w:r>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FA7B84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（八）与基金财产有关的重大合同的保管</w:t>
      </w:r>
    </w:p>
    <w:p w14:paraId="6056045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Pr>
          <w:rFonts w:ascii="宋体" w:hAnsi="宋体" w:cs="Arial" w:hint="eastAsia"/>
          <w:sz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少于法定最低期限，法律法规或监管部门另有规定的除外。</w:t>
      </w:r>
    </w:p>
    <w:p w14:paraId="5EF24C02" w14:textId="77777777" w:rsidR="00255B24" w:rsidRDefault="00F94547">
      <w:pPr>
        <w:widowControl/>
        <w:jc w:val="left"/>
        <w:rPr>
          <w:rFonts w:ascii="宋体" w:hAnsi="宋体"/>
          <w:sz w:val="24"/>
        </w:rPr>
      </w:pPr>
      <w:r>
        <w:rPr>
          <w:rFonts w:ascii="宋体" w:hAnsi="宋体"/>
          <w:sz w:val="24"/>
        </w:rPr>
        <w:br w:type="page"/>
      </w:r>
    </w:p>
    <w:p w14:paraId="105ADBF8" w14:textId="77777777" w:rsidR="00255B24" w:rsidRDefault="00F94547">
      <w:pPr>
        <w:pStyle w:val="2"/>
        <w:spacing w:before="0" w:after="0" w:line="360" w:lineRule="auto"/>
        <w:jc w:val="center"/>
        <w:rPr>
          <w:rFonts w:ascii="宋体" w:eastAsia="宋体" w:hAnsi="宋体"/>
          <w:sz w:val="30"/>
        </w:rPr>
      </w:pPr>
      <w:bookmarkStart w:id="46" w:name="_Toc89163370"/>
      <w:bookmarkStart w:id="47" w:name="_Toc114149844"/>
      <w:bookmarkStart w:id="48" w:name="_Toc118212952"/>
      <w:bookmarkStart w:id="49" w:name="_Toc110830494"/>
      <w:bookmarkStart w:id="50" w:name="_Toc86225293"/>
      <w:bookmarkStart w:id="51" w:name="_Toc108512360"/>
      <w:bookmarkStart w:id="52" w:name="_Toc84234389"/>
      <w:bookmarkStart w:id="53" w:name="_Toc119402712"/>
      <w:bookmarkStart w:id="54" w:name="_Toc84234436"/>
      <w:bookmarkStart w:id="55" w:name="_Toc86204790"/>
      <w:bookmarkStart w:id="56" w:name="_Toc86726441"/>
      <w:bookmarkStart w:id="57" w:name="_Toc86223244"/>
      <w:bookmarkStart w:id="58" w:name="_Toc86737931"/>
      <w:bookmarkStart w:id="59" w:name="_Toc110761798"/>
      <w:bookmarkStart w:id="60" w:name="_Toc118972650"/>
      <w:bookmarkStart w:id="61" w:name="_Toc86649724"/>
      <w:bookmarkStart w:id="62" w:name="_Toc120435785"/>
      <w:bookmarkStart w:id="63" w:name="_Toc110765662"/>
      <w:bookmarkStart w:id="64" w:name="_Toc86727357"/>
      <w:bookmarkStart w:id="65" w:name="_Toc118774805"/>
      <w:bookmarkStart w:id="66" w:name="_Toc84133787"/>
      <w:r>
        <w:rPr>
          <w:rFonts w:ascii="宋体" w:eastAsia="宋体" w:hAnsi="宋体" w:hint="eastAsia"/>
          <w:sz w:val="30"/>
        </w:rPr>
        <w:lastRenderedPageBreak/>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8B57A83"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20954CD8" w14:textId="2F40312E"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（一）基金管理人对发送指令人员的书面授权</w:t>
      </w:r>
    </w:p>
    <w:p w14:paraId="1AB1BF1B" w14:textId="77777777" w:rsidR="00255B24" w:rsidRPr="007E0E31" w:rsidRDefault="00F94547" w:rsidP="007E0E31">
      <w:pPr>
        <w:adjustRightInd w:val="0"/>
        <w:snapToGrid w:val="0"/>
        <w:spacing w:line="360" w:lineRule="auto"/>
        <w:ind w:firstLine="480"/>
        <w:rPr>
          <w:rFonts w:ascii="宋体" w:hAnsi="宋体" w:cs="Arial"/>
          <w:sz w:val="24"/>
        </w:rPr>
      </w:pPr>
      <w:r w:rsidRPr="007E0E31">
        <w:rPr>
          <w:rFonts w:ascii="宋体" w:hAnsi="宋体" w:cs="Arial" w:hint="eastAsia"/>
          <w:sz w:val="24"/>
        </w:rPr>
        <w:t>基金管理人应指定专人向基金托管人发送指令。</w:t>
      </w:r>
    </w:p>
    <w:p w14:paraId="2FFD30F9" w14:textId="77777777" w:rsidR="00255B24" w:rsidRPr="007E0E31" w:rsidRDefault="00F94547" w:rsidP="007E0E31">
      <w:pPr>
        <w:adjustRightInd w:val="0"/>
        <w:snapToGrid w:val="0"/>
        <w:spacing w:line="360" w:lineRule="auto"/>
        <w:ind w:firstLine="480"/>
        <w:rPr>
          <w:rFonts w:ascii="宋体" w:hAnsi="宋体" w:cs="Arial"/>
          <w:sz w:val="24"/>
        </w:rPr>
      </w:pPr>
      <w:r w:rsidRPr="007E0E31">
        <w:rPr>
          <w:rFonts w:ascii="宋体" w:hAnsi="宋体" w:cs="Arial"/>
          <w:sz w:val="24"/>
        </w:rPr>
        <w:t>基金管理人应向基金托管人提供书面授权文件，内容包括被授权人名单、预留印鉴及被授权人签字样本，授权文件应注明被授权人相应的权限。</w:t>
      </w:r>
    </w:p>
    <w:p w14:paraId="1F4C82D9" w14:textId="6C65EE45"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F8D8F9D"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基金管理人和基金托管人对授权通知负有保密义务，其内容不得向授权人、被授权人及相关操作人员以外的任何人泄露，但法律法规另有规定或有权机关另有要求的除外。</w:t>
      </w:r>
    </w:p>
    <w:p w14:paraId="74CB883F"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（二）指令的内容</w:t>
      </w:r>
    </w:p>
    <w:p w14:paraId="3F36CFCC" w14:textId="77777777" w:rsidR="00255B24" w:rsidRPr="007E0E31" w:rsidRDefault="00F94547" w:rsidP="007E0E31">
      <w:pPr>
        <w:adjustRightInd w:val="0"/>
        <w:snapToGrid w:val="0"/>
        <w:spacing w:line="360" w:lineRule="auto"/>
        <w:ind w:firstLine="480"/>
        <w:rPr>
          <w:rFonts w:ascii="宋体" w:hAnsi="宋体" w:cs="Arial"/>
          <w:sz w:val="24"/>
        </w:rPr>
      </w:pPr>
      <w:r w:rsidRPr="007E0E31">
        <w:rPr>
          <w:rFonts w:ascii="宋体" w:hAnsi="宋体" w:cs="Arial"/>
          <w:sz w:val="24"/>
        </w:rPr>
        <w:t>1.指令包括付款指令以及其他资金划拨指令等。</w:t>
      </w:r>
    </w:p>
    <w:p w14:paraId="34CEA924" w14:textId="77777777" w:rsidR="00255B24" w:rsidRDefault="00F94547" w:rsidP="007E0E31">
      <w:pPr>
        <w:adjustRightInd w:val="0"/>
        <w:snapToGrid w:val="0"/>
        <w:spacing w:line="360" w:lineRule="auto"/>
        <w:ind w:firstLine="480"/>
        <w:rPr>
          <w:rFonts w:ascii="宋体" w:hAnsi="宋体" w:cs="Arial"/>
          <w:sz w:val="24"/>
        </w:rPr>
      </w:pPr>
      <w:r w:rsidRPr="007E0E31">
        <w:rPr>
          <w:rFonts w:ascii="宋体" w:hAnsi="宋体" w:cs="Arial"/>
          <w:sz w:val="24"/>
        </w:rPr>
        <w:t>2.基金管理人发给基金托管人的指令应写明款项事由、支付时间、到账时间、金额、账户等，加盖预留印鉴并由被授权人签字。</w:t>
      </w:r>
    </w:p>
    <w:p w14:paraId="7137C9FF" w14:textId="67416603"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（三）指令的发送、确认及执行的时间和程序</w:t>
      </w:r>
    </w:p>
    <w:p w14:paraId="044D2225" w14:textId="2BEAE431" w:rsidR="00255B24" w:rsidRDefault="00F94547">
      <w:pPr>
        <w:adjustRightInd w:val="0"/>
        <w:snapToGrid w:val="0"/>
        <w:spacing w:line="360" w:lineRule="auto"/>
        <w:ind w:firstLine="480"/>
        <w:rPr>
          <w:rFonts w:ascii="宋体" w:hAnsi="宋体" w:cs="Arial"/>
          <w:sz w:val="24"/>
        </w:rPr>
      </w:pPr>
      <w:r>
        <w:rPr>
          <w:rFonts w:ascii="宋体" w:hAnsi="宋体" w:cs="Arial"/>
          <w:sz w:val="24"/>
        </w:rPr>
        <w:t>1.指令的发送</w:t>
      </w:r>
      <w:r>
        <w:rPr>
          <w:rFonts w:ascii="宋体" w:hAnsi="宋体" w:cs="Arial"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63551AA8"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被授权人应严格按照其授权权限发送指令。对于被授权人依约定程序发出的指令，基金管理人不得否认其效力。但如果基金管理人已经撤销或更改对被授权</w:t>
      </w:r>
      <w:proofErr w:type="gramStart"/>
      <w:r>
        <w:rPr>
          <w:rFonts w:ascii="宋体" w:hAnsi="宋体" w:cs="Arial" w:hint="eastAsia"/>
          <w:sz w:val="24"/>
        </w:rPr>
        <w:t>人人员</w:t>
      </w:r>
      <w:proofErr w:type="gramEnd"/>
      <w:r>
        <w:rPr>
          <w:rFonts w:ascii="宋体" w:hAnsi="宋体" w:cs="Arial" w:hint="eastAsia"/>
          <w:sz w:val="24"/>
        </w:rPr>
        <w:t>的授权，并且基金托管人根据本协议确认后，则对于此后该交易指令发送人员无权发送的指令，或超权限发送的指令，基金管理人不承担责任，授权已更改但未经基金托管人确认的情况除外。</w:t>
      </w:r>
    </w:p>
    <w:p w14:paraId="52EC9A23"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指令发出后，基金管理人应及时以电话方式向基金托管人确认或其他托管人</w:t>
      </w:r>
      <w:r>
        <w:rPr>
          <w:rFonts w:ascii="宋体" w:hAnsi="宋体" w:cs="Arial" w:hint="eastAsia"/>
          <w:sz w:val="24"/>
        </w:rPr>
        <w:lastRenderedPageBreak/>
        <w:t>认可的方式进行指令确认。</w:t>
      </w:r>
    </w:p>
    <w:p w14:paraId="59E21B43" w14:textId="27AD9751"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管理人应在银行间交易成交后，及时将通知单、相关文件及划款指令发至基金托管人并电话确认，由基金托管人完成后台交易匹配及资金交收事宜。如果银行间结算系统已经生成的交易需要取消或终止，基金管理人要书面通知基金托管人。</w:t>
      </w:r>
    </w:p>
    <w:p w14:paraId="4B063C03" w14:textId="3B01BB07" w:rsidR="00255B24" w:rsidRDefault="00F94547">
      <w:pPr>
        <w:adjustRightInd w:val="0"/>
        <w:snapToGrid w:val="0"/>
        <w:spacing w:line="360" w:lineRule="auto"/>
        <w:ind w:firstLine="480"/>
        <w:rPr>
          <w:rFonts w:ascii="宋体" w:hAnsi="宋体" w:cs="Arial"/>
          <w:sz w:val="24"/>
        </w:rPr>
      </w:pPr>
      <w:r>
        <w:rPr>
          <w:rFonts w:ascii="宋体" w:hAnsi="宋体" w:cs="Arial"/>
          <w:sz w:val="24"/>
        </w:rPr>
        <w:t>2.指令的确认</w:t>
      </w:r>
      <w:r>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 如有疑问必须及时通知基金管理人。</w:t>
      </w:r>
    </w:p>
    <w:p w14:paraId="317DB19B" w14:textId="1DF68D74" w:rsidR="00255B24" w:rsidRDefault="00F94547">
      <w:pPr>
        <w:adjustRightInd w:val="0"/>
        <w:snapToGrid w:val="0"/>
        <w:spacing w:line="360" w:lineRule="auto"/>
        <w:ind w:firstLine="480"/>
        <w:rPr>
          <w:rFonts w:ascii="宋体" w:hAnsi="宋体" w:cs="Arial"/>
          <w:sz w:val="24"/>
        </w:rPr>
      </w:pPr>
      <w:r>
        <w:rPr>
          <w:rFonts w:ascii="宋体" w:hAnsi="宋体" w:cs="Arial"/>
          <w:sz w:val="24"/>
        </w:rPr>
        <w:t>3.</w:t>
      </w:r>
      <w:r>
        <w:rPr>
          <w:rFonts w:ascii="宋体" w:hAnsi="宋体" w:cs="Arial" w:hint="eastAsia"/>
          <w:sz w:val="24"/>
        </w:rPr>
        <w:t>指令的时间和执行：</w:t>
      </w:r>
    </w:p>
    <w:p w14:paraId="0D9DEE21" w14:textId="2EF2CF1A"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管理人尽早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宋体" w:hAnsi="宋体" w:cs="Arial" w:hint="eastAsia"/>
          <w:sz w:val="24"/>
        </w:rPr>
        <w:t>并相关</w:t>
      </w:r>
      <w:proofErr w:type="gramEnd"/>
      <w:r>
        <w:rPr>
          <w:rFonts w:ascii="宋体" w:hAnsi="宋体" w:cs="Arial" w:hint="eastAsia"/>
          <w:sz w:val="24"/>
        </w:rPr>
        <w:t>付款条件已经具备。基金托管人将视付款条件具备时为指令送达时间。对新股申购网下发行业务，基金管理人应在网下申购缴款日(T日)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国证券登记结算有限责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EC513D1" w14:textId="77777777" w:rsidR="00255B24" w:rsidRDefault="00F94547" w:rsidP="007E0E31">
      <w:pPr>
        <w:adjustRightInd w:val="0"/>
        <w:snapToGrid w:val="0"/>
        <w:spacing w:line="360" w:lineRule="auto"/>
        <w:ind w:firstLine="480"/>
        <w:rPr>
          <w:rFonts w:ascii="宋体" w:hAnsi="宋体" w:cs="Arial"/>
        </w:rPr>
      </w:pPr>
      <w:r w:rsidRPr="007E0E31">
        <w:rPr>
          <w:rFonts w:ascii="宋体" w:hAnsi="宋体" w:cs="Arial" w:hint="eastAsia"/>
          <w:sz w:val="24"/>
        </w:rPr>
        <w:t>（四）基金管理人发送错误指令的情形和处理程序</w:t>
      </w:r>
    </w:p>
    <w:p w14:paraId="6996431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基金管理人发送错误指令的情形包括指令违反法律法规和《基金合同》，指令发送人员无权或超越权限发送指令。</w:t>
      </w:r>
    </w:p>
    <w:p w14:paraId="4498C77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428C83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（五）基金托管人依照法律法规暂缓、拒绝执行指令的情形和处理程序</w:t>
      </w:r>
    </w:p>
    <w:p w14:paraId="1B96CC37" w14:textId="77777777" w:rsidR="00255B24" w:rsidRDefault="00F94547">
      <w:pPr>
        <w:adjustRightInd w:val="0"/>
        <w:snapToGrid w:val="0"/>
        <w:spacing w:line="360" w:lineRule="auto"/>
        <w:ind w:firstLine="480"/>
        <w:rPr>
          <w:rFonts w:ascii="宋体" w:hAnsi="宋体" w:cs="Arial"/>
          <w:sz w:val="24"/>
        </w:rPr>
      </w:pPr>
      <w:proofErr w:type="gramStart"/>
      <w:r>
        <w:rPr>
          <w:rFonts w:ascii="宋体" w:hAnsi="宋体" w:cs="Arial" w:hint="eastAsia"/>
          <w:sz w:val="24"/>
        </w:rPr>
        <w:t>若基金</w:t>
      </w:r>
      <w:proofErr w:type="gramEnd"/>
      <w:r>
        <w:rPr>
          <w:rFonts w:ascii="宋体" w:hAnsi="宋体" w:cs="Arial" w:hint="eastAsia"/>
          <w:sz w:val="24"/>
        </w:rPr>
        <w:t>托管人发现基金管理人的指令违反法律法规，或者违反《基金合同》约定的，应当暂缓或拒绝执行，立即通知基金管理人。</w:t>
      </w:r>
    </w:p>
    <w:p w14:paraId="03251DB8"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（六）基金托管人未按照基金管理人指令执行的处理方法</w:t>
      </w:r>
    </w:p>
    <w:p w14:paraId="41F1D71D"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基金托管人由于过错，未按照基金管理人发送的指令执行并对基金财产或投资人造成的直接损失，由基金托管人</w:t>
      </w:r>
      <w:r>
        <w:rPr>
          <w:rFonts w:ascii="宋体" w:hAnsi="宋体" w:hint="eastAsia"/>
          <w:sz w:val="24"/>
        </w:rPr>
        <w:t>赔偿由此造成的直接损失。</w:t>
      </w:r>
    </w:p>
    <w:p w14:paraId="75D64103"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（七）更换被授权人员的程序</w:t>
      </w:r>
    </w:p>
    <w:p w14:paraId="3788F9E4"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宋体" w:hAnsi="宋体" w:cs="Arial" w:hint="eastAsia"/>
          <w:sz w:val="24"/>
        </w:rPr>
        <w:t>件内容</w:t>
      </w:r>
      <w:proofErr w:type="gramEnd"/>
      <w:r>
        <w:rPr>
          <w:rFonts w:ascii="宋体" w:hAnsi="宋体" w:cs="Arial" w:hint="eastAsia"/>
          <w:sz w:val="24"/>
        </w:rPr>
        <w:t>执行有关业务，如果新的授权文件正本与传真</w:t>
      </w:r>
      <w:proofErr w:type="gramStart"/>
      <w:r>
        <w:rPr>
          <w:rFonts w:ascii="宋体" w:hAnsi="宋体" w:cs="Arial" w:hint="eastAsia"/>
          <w:sz w:val="24"/>
        </w:rPr>
        <w:t>件内容</w:t>
      </w:r>
      <w:proofErr w:type="gramEnd"/>
      <w:r>
        <w:rPr>
          <w:rFonts w:ascii="宋体" w:hAnsi="宋体" w:cs="Arial" w:hint="eastAsia"/>
          <w:sz w:val="24"/>
        </w:rPr>
        <w:t>不同，以传真</w:t>
      </w:r>
      <w:proofErr w:type="gramStart"/>
      <w:r>
        <w:rPr>
          <w:rFonts w:ascii="宋体" w:hAnsi="宋体" w:cs="Arial" w:hint="eastAsia"/>
          <w:sz w:val="24"/>
        </w:rPr>
        <w:t>件内容</w:t>
      </w:r>
      <w:proofErr w:type="gramEnd"/>
      <w:r>
        <w:rPr>
          <w:rFonts w:ascii="宋体" w:hAnsi="宋体" w:cs="Arial" w:hint="eastAsia"/>
          <w:sz w:val="24"/>
        </w:rPr>
        <w:t>为准，由此产生的责任由基金管理人承担</w:t>
      </w:r>
      <w:r>
        <w:rPr>
          <w:rFonts w:ascii="宋体" w:hAnsi="宋体" w:hint="eastAsia"/>
          <w:sz w:val="24"/>
        </w:rPr>
        <w:t>。</w:t>
      </w:r>
      <w:r>
        <w:rPr>
          <w:rFonts w:ascii="宋体" w:hAnsi="宋体" w:cs="Arial" w:hint="eastAsia"/>
          <w:sz w:val="24"/>
        </w:rPr>
        <w:t>基金托管人更换接收基金管理人指令的人员，应提前通过录音电话通知基金管理人。</w:t>
      </w:r>
    </w:p>
    <w:p w14:paraId="18447871"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（八）其他事项</w:t>
      </w:r>
    </w:p>
    <w:p w14:paraId="15CD3DAD"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DC3D948" w14:textId="7A38AC22"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基金参与认购未上市债券时，基金管理人应代表本基金与对手方签署相关合同或协议，明确约定债券过户具体事宜。</w:t>
      </w:r>
    </w:p>
    <w:p w14:paraId="2125ABF3" w14:textId="77777777" w:rsidR="00255B24" w:rsidRDefault="00F94547">
      <w:pPr>
        <w:widowControl/>
        <w:jc w:val="left"/>
        <w:rPr>
          <w:rFonts w:ascii="宋体" w:hAnsi="宋体" w:cs="Arial"/>
          <w:sz w:val="24"/>
        </w:rPr>
      </w:pPr>
      <w:r>
        <w:rPr>
          <w:rFonts w:ascii="宋体" w:hAnsi="宋体" w:cs="Arial"/>
          <w:sz w:val="24"/>
        </w:rPr>
        <w:br w:type="page"/>
      </w:r>
    </w:p>
    <w:p w14:paraId="3D42461F" w14:textId="77777777" w:rsidR="00255B24" w:rsidRDefault="00F94547">
      <w:pPr>
        <w:pStyle w:val="2"/>
        <w:spacing w:before="0" w:after="0" w:line="360" w:lineRule="auto"/>
        <w:jc w:val="center"/>
        <w:rPr>
          <w:rFonts w:ascii="宋体" w:eastAsia="宋体" w:hAnsi="宋体"/>
          <w:sz w:val="30"/>
        </w:rPr>
      </w:pPr>
      <w:bookmarkStart w:id="67" w:name="_Toc86726442"/>
      <w:bookmarkStart w:id="68" w:name="_Toc118774806"/>
      <w:bookmarkStart w:id="69" w:name="_Toc86204791"/>
      <w:bookmarkStart w:id="70" w:name="_Toc110830495"/>
      <w:bookmarkStart w:id="71" w:name="_Toc89163371"/>
      <w:bookmarkStart w:id="72" w:name="_Toc84234390"/>
      <w:bookmarkStart w:id="73" w:name="_Toc118972651"/>
      <w:bookmarkStart w:id="74" w:name="_Toc108512361"/>
      <w:bookmarkStart w:id="75" w:name="_Toc119402713"/>
      <w:bookmarkStart w:id="76" w:name="_Toc84234437"/>
      <w:bookmarkStart w:id="77" w:name="_Toc86225294"/>
      <w:bookmarkStart w:id="78" w:name="_Toc118212953"/>
      <w:bookmarkStart w:id="79" w:name="_Toc114149845"/>
      <w:bookmarkStart w:id="80" w:name="_Toc86737932"/>
      <w:bookmarkStart w:id="81" w:name="_Toc86649725"/>
      <w:bookmarkStart w:id="82" w:name="_Toc110765663"/>
      <w:bookmarkStart w:id="83" w:name="_Toc86727358"/>
      <w:bookmarkStart w:id="84" w:name="_Toc110761799"/>
      <w:bookmarkStart w:id="85" w:name="_Toc120435786"/>
      <w:bookmarkStart w:id="86" w:name="_Toc84133788"/>
      <w:bookmarkStart w:id="87" w:name="_Toc86223245"/>
      <w:r>
        <w:rPr>
          <w:rFonts w:ascii="宋体" w:eastAsia="宋体" w:hAnsi="宋体" w:hint="eastAsia"/>
          <w:sz w:val="30"/>
        </w:rP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288D99F"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（一）选择证券、期货买卖的证券、期货经营机构</w:t>
      </w:r>
    </w:p>
    <w:p w14:paraId="471171B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3455CB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负责选择代理本基金期货交易的期货经营机构，并与其签订期货经营合同，其他事宜根据法律法规、《基金合同》的相关规定执行，若无明确规定的，可参照有关证券买卖、证券经营机构选择的规则执行。</w:t>
      </w:r>
    </w:p>
    <w:p w14:paraId="1702B86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本基金在开始进行期货投资之前，应与基金托管人、期货公司三方</w:t>
      </w:r>
      <w:proofErr w:type="gramStart"/>
      <w:r>
        <w:rPr>
          <w:rFonts w:ascii="宋体" w:hAnsi="宋体" w:cs="Arial" w:hint="eastAsia"/>
          <w:sz w:val="24"/>
        </w:rPr>
        <w:t>一同就</w:t>
      </w:r>
      <w:proofErr w:type="gramEnd"/>
      <w:r>
        <w:rPr>
          <w:rFonts w:ascii="宋体" w:hAnsi="宋体" w:cs="Arial" w:hint="eastAsia"/>
          <w:sz w:val="24"/>
        </w:rPr>
        <w:t>期货开户、清算、估值、交收等事宜另行签署操作备忘录。</w:t>
      </w:r>
    </w:p>
    <w:p w14:paraId="5E689AFC" w14:textId="77777777" w:rsidR="00255B24" w:rsidRDefault="00F94547">
      <w:pPr>
        <w:adjustRightInd w:val="0"/>
        <w:snapToGrid w:val="0"/>
        <w:spacing w:line="360" w:lineRule="auto"/>
        <w:ind w:firstLineChars="200" w:firstLine="480"/>
        <w:rPr>
          <w:rFonts w:ascii="宋体" w:hAnsi="宋体" w:cs="Arial"/>
          <w:i/>
          <w:sz w:val="24"/>
        </w:rPr>
      </w:pPr>
      <w:r>
        <w:rPr>
          <w:rFonts w:ascii="宋体" w:hAnsi="宋体" w:cs="Arial" w:hint="eastAsia"/>
          <w:iCs/>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14:paraId="6E0EB167"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（二）基金投资证券后的清算交收安排</w:t>
      </w:r>
    </w:p>
    <w:p w14:paraId="44B89FEC"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1.清算与交割</w:t>
      </w:r>
    </w:p>
    <w:p w14:paraId="79DC02F6" w14:textId="77777777" w:rsidR="00255B24" w:rsidRDefault="00F94547">
      <w:pPr>
        <w:adjustRightInd w:val="0"/>
        <w:snapToGrid w:val="0"/>
        <w:spacing w:line="360" w:lineRule="auto"/>
        <w:ind w:firstLine="480"/>
        <w:rPr>
          <w:rFonts w:ascii="宋体" w:hAnsi="宋体"/>
          <w:sz w:val="24"/>
        </w:rPr>
      </w:pPr>
      <w:r>
        <w:rPr>
          <w:rFonts w:ascii="宋体" w:hAnsi="宋体" w:hint="eastAsia"/>
          <w:sz w:val="24"/>
        </w:rPr>
        <w:t>基金管理人与基金托管人应根据有关法律法规及相关业务规则，签订《托管银行证券资金结算协议》，如投资港股通标的股票，还需签订《证券投资基金港股通结算补充协议》，用以具体明确基金管理人与基金托管人在证券交易资金结算业务中的责任。</w:t>
      </w:r>
    </w:p>
    <w:p w14:paraId="104C88D7" w14:textId="77777777" w:rsidR="00255B24" w:rsidRDefault="00F94547">
      <w:pPr>
        <w:adjustRightInd w:val="0"/>
        <w:snapToGrid w:val="0"/>
        <w:spacing w:line="360" w:lineRule="auto"/>
        <w:ind w:firstLine="480"/>
        <w:rPr>
          <w:rFonts w:ascii="宋体" w:hAnsi="宋体" w:cs="Arial"/>
          <w:sz w:val="24"/>
        </w:rPr>
      </w:pPr>
      <w:r>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w:t>
      </w:r>
      <w:r>
        <w:rPr>
          <w:rFonts w:ascii="宋体" w:hAnsi="宋体" w:hint="eastAsia"/>
          <w:sz w:val="24"/>
        </w:rPr>
        <w:lastRenderedPageBreak/>
        <w:t>金头寸。</w:t>
      </w:r>
    </w:p>
    <w:p w14:paraId="632A644A"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C564FF5" w14:textId="2FC00459"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宋体" w:hAnsi="宋体" w:cs="Arial" w:hint="eastAsia"/>
          <w:sz w:val="24"/>
        </w:rPr>
        <w:t>券</w:t>
      </w:r>
      <w:proofErr w:type="gramEnd"/>
      <w:r>
        <w:rPr>
          <w:rFonts w:ascii="宋体" w:hAnsi="宋体" w:cs="Arial" w:hint="eastAsia"/>
          <w:sz w:val="24"/>
        </w:rPr>
        <w:t>欠库等原因造成基金投资清算困难和风险的，基金托管人</w:t>
      </w:r>
      <w:r w:rsidRPr="007E0E31">
        <w:rPr>
          <w:rFonts w:ascii="宋体" w:hAnsi="宋体" w:cs="Arial"/>
          <w:sz w:val="24"/>
        </w:rPr>
        <w:t>在预清算结束后应通知基金管理人预透支和预欠库事项，基金管理人应保持联系方式畅通，后续补缴等事宜</w:t>
      </w:r>
      <w:r>
        <w:rPr>
          <w:rFonts w:ascii="宋体" w:hAnsi="宋体" w:cs="Arial" w:hint="eastAsia"/>
          <w:sz w:val="24"/>
        </w:rPr>
        <w:t>由基金管理人负责解决，由此给基金托管人、本基金和基金托管人托管的其他资产造成的直接损失由基金管理人承担。</w:t>
      </w:r>
    </w:p>
    <w:p w14:paraId="1E5AA43E" w14:textId="1B293563" w:rsidR="00255B24" w:rsidRDefault="00F94547">
      <w:pPr>
        <w:adjustRightInd w:val="0"/>
        <w:snapToGrid w:val="0"/>
        <w:spacing w:line="360" w:lineRule="auto"/>
        <w:ind w:firstLine="480"/>
        <w:rPr>
          <w:rFonts w:ascii="宋体" w:hAnsi="宋体" w:cs="宋体"/>
          <w:color w:val="000000"/>
          <w:kern w:val="0"/>
          <w:sz w:val="24"/>
        </w:rPr>
      </w:pPr>
      <w:r>
        <w:rPr>
          <w:rFonts w:ascii="宋体" w:hAnsi="宋体" w:cs="宋体" w:hint="eastAsia"/>
          <w:color w:val="000000"/>
          <w:kern w:val="0"/>
          <w:sz w:val="24"/>
        </w:rPr>
        <w:t>基金管理人应采取合理、必要措施，确保T日日终有足够的资金头寸完成T+1日</w:t>
      </w:r>
      <w:r>
        <w:rPr>
          <w:rFonts w:ascii="宋体" w:hAnsi="宋体" w:hint="eastAsia"/>
          <w:sz w:val="24"/>
        </w:rPr>
        <w:t>中国证券登记结算有限责任公司的资金</w:t>
      </w:r>
      <w:r>
        <w:rPr>
          <w:rFonts w:ascii="宋体" w:hAnsi="宋体" w:cs="宋体" w:hint="eastAsia"/>
          <w:color w:val="000000"/>
          <w:kern w:val="0"/>
          <w:sz w:val="24"/>
        </w:rPr>
        <w:t>交收；如因基金管理</w:t>
      </w:r>
      <w:proofErr w:type="gramStart"/>
      <w:r>
        <w:rPr>
          <w:rFonts w:ascii="宋体" w:hAnsi="宋体" w:cs="宋体" w:hint="eastAsia"/>
          <w:color w:val="000000"/>
          <w:kern w:val="0"/>
          <w:sz w:val="24"/>
        </w:rPr>
        <w:t>人原因</w:t>
      </w:r>
      <w:proofErr w:type="gramEnd"/>
      <w:r>
        <w:rPr>
          <w:rFonts w:ascii="宋体"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Pr>
          <w:rFonts w:ascii="宋体" w:hAnsi="宋体" w:cs="Arial" w:hint="eastAsia"/>
          <w:sz w:val="24"/>
        </w:rPr>
        <w:t>和基金托管人托管的其他资产</w:t>
      </w:r>
      <w:r>
        <w:rPr>
          <w:rFonts w:ascii="宋体" w:hAnsi="宋体" w:cs="宋体" w:hint="eastAsia"/>
          <w:color w:val="000000"/>
          <w:kern w:val="0"/>
          <w:sz w:val="24"/>
        </w:rPr>
        <w:t>造成的直接损失由基金管理人负责。</w:t>
      </w:r>
    </w:p>
    <w:p w14:paraId="342F3CA3" w14:textId="77777777" w:rsidR="00255B24" w:rsidRDefault="00F94547">
      <w:pPr>
        <w:adjustRightInd w:val="0"/>
        <w:snapToGrid w:val="0"/>
        <w:spacing w:line="360" w:lineRule="auto"/>
        <w:ind w:firstLine="480"/>
        <w:rPr>
          <w:rFonts w:ascii="宋体" w:hAnsi="宋体" w:cs="Arial"/>
          <w:sz w:val="24"/>
        </w:rPr>
      </w:pPr>
      <w:r>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。如因基金管理</w:t>
      </w:r>
      <w:proofErr w:type="gramStart"/>
      <w:r>
        <w:rPr>
          <w:rFonts w:ascii="宋体" w:hAnsi="宋体" w:cs="宋体" w:hint="eastAsia"/>
          <w:color w:val="000000"/>
          <w:kern w:val="0"/>
          <w:sz w:val="24"/>
        </w:rPr>
        <w:t>人原因</w:t>
      </w:r>
      <w:proofErr w:type="gramEnd"/>
      <w:r>
        <w:rPr>
          <w:rFonts w:ascii="宋体"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进行处置造成的投资风险和损失由基金管理人承担。</w:t>
      </w:r>
    </w:p>
    <w:p w14:paraId="133612C2"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实行场内T+0交收的资金清算按照基金托管人的相关规定流程执行。</w:t>
      </w:r>
    </w:p>
    <w:p w14:paraId="1C7A5247"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2.交易记录、资金和证券/期货账目核对的时间和方式</w:t>
      </w:r>
    </w:p>
    <w:p w14:paraId="2F6121A7"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（1）交易记录的核对</w:t>
      </w:r>
    </w:p>
    <w:p w14:paraId="3C54D55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w:t>
      </w:r>
      <w:r>
        <w:rPr>
          <w:rFonts w:ascii="宋体" w:hAnsi="宋体" w:hint="eastAsia"/>
          <w:kern w:val="0"/>
          <w:sz w:val="24"/>
        </w:rPr>
        <w:lastRenderedPageBreak/>
        <w:t>人承担。</w:t>
      </w:r>
    </w:p>
    <w:p w14:paraId="1D8943FF"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（2）资金账目的核对</w:t>
      </w:r>
    </w:p>
    <w:p w14:paraId="36025BDD"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资金账目按日核实。</w:t>
      </w:r>
    </w:p>
    <w:p w14:paraId="138AF90A"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（3）证券/期货账目的核对</w:t>
      </w:r>
    </w:p>
    <w:p w14:paraId="476A018E" w14:textId="063E8260"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基金管理人和基金托管人每交易日结束后核对基金证券/期货账目，确保双方账目相符。基金管理人和基金托管人每月月末核对实物证券账目。</w:t>
      </w:r>
    </w:p>
    <w:p w14:paraId="5A939D5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（三）基金申购和赎回业务处理的基本规定</w:t>
      </w:r>
    </w:p>
    <w:p w14:paraId="6C07A57C"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1.基金份额申购、赎回的确认、清算由基金管理人或其委托的注册登记机构负责。</w:t>
      </w:r>
    </w:p>
    <w:p w14:paraId="7C647D8E"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631A600"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3.基金管理人应保证本基金（或本基金管理人委托）的注册登记机构每个工作日15:00前向基金托管人发送前一开放</w:t>
      </w:r>
      <w:proofErr w:type="gramStart"/>
      <w:r>
        <w:rPr>
          <w:rFonts w:ascii="宋体" w:hAnsi="宋体" w:cs="Arial" w:hint="eastAsia"/>
          <w:sz w:val="24"/>
        </w:rPr>
        <w:t>日上述</w:t>
      </w:r>
      <w:proofErr w:type="gramEnd"/>
      <w:r>
        <w:rPr>
          <w:rFonts w:ascii="宋体" w:hAnsi="宋体" w:cs="Arial" w:hint="eastAsia"/>
          <w:sz w:val="24"/>
        </w:rPr>
        <w:t>有关数据，并保证相关数据的准确、完整。</w:t>
      </w:r>
    </w:p>
    <w:p w14:paraId="29BA19C1"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37ACD17" w14:textId="271C414B"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5.如基金管理人委托其他机构办理本基金的注册登记业务，应保证上述相关事宜按时进行，</w:t>
      </w:r>
      <w:r w:rsidRPr="007E0E31">
        <w:rPr>
          <w:rFonts w:ascii="宋体" w:hAnsi="宋体" w:cs="Arial"/>
          <w:sz w:val="24"/>
        </w:rPr>
        <w:t>否则，由基金管理人承担相应的责任。</w:t>
      </w:r>
    </w:p>
    <w:p w14:paraId="47982CDB"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6.关于清算专用账户的设立和管理</w:t>
      </w:r>
    </w:p>
    <w:p w14:paraId="33FD98A3"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为满足申购、赎回及分红资金汇划的需要，由基金管理人开立资金清算的专用账户，该账户由注册登记机构管理。</w:t>
      </w:r>
    </w:p>
    <w:p w14:paraId="22D57F35"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37DCD7F"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8.赎回和分红资金划拨规定</w:t>
      </w:r>
    </w:p>
    <w:p w14:paraId="3C4178A6"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lastRenderedPageBreak/>
        <w:t>拨付</w:t>
      </w:r>
      <w:proofErr w:type="gramStart"/>
      <w:r>
        <w:rPr>
          <w:rFonts w:ascii="宋体" w:hAnsi="宋体" w:cs="Arial" w:hint="eastAsia"/>
          <w:sz w:val="24"/>
        </w:rPr>
        <w:t>赎回款</w:t>
      </w:r>
      <w:proofErr w:type="gramEnd"/>
      <w:r>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宋体" w:hAnsi="宋体" w:cs="Arial" w:hint="eastAsia"/>
          <w:sz w:val="24"/>
        </w:rPr>
        <w:t>系基金</w:t>
      </w:r>
      <w:proofErr w:type="gramEnd"/>
      <w:r>
        <w:rPr>
          <w:rFonts w:ascii="宋体" w:hAnsi="宋体" w:cs="Arial" w:hint="eastAsia"/>
          <w:sz w:val="24"/>
        </w:rPr>
        <w:t>管理人的原因造成，责任由基金管理人承担，基金托管人不承担垫款义务。</w:t>
      </w:r>
    </w:p>
    <w:p w14:paraId="36BE475B"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9.资金指令</w:t>
      </w:r>
    </w:p>
    <w:p w14:paraId="3CC439BD"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EE7CCAB"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资金指令的格式、内容、发送、接收和确认方式等与投资指令相同。</w:t>
      </w:r>
    </w:p>
    <w:p w14:paraId="2DA3A120"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（四）</w:t>
      </w:r>
      <w:proofErr w:type="gramStart"/>
      <w:r>
        <w:rPr>
          <w:rFonts w:ascii="宋体" w:hAnsi="宋体" w:cs="Arial" w:hint="eastAsia"/>
          <w:sz w:val="24"/>
        </w:rPr>
        <w:t>申赎净额</w:t>
      </w:r>
      <w:proofErr w:type="gramEnd"/>
      <w:r>
        <w:rPr>
          <w:rFonts w:ascii="宋体" w:hAnsi="宋体" w:cs="Arial" w:hint="eastAsia"/>
          <w:sz w:val="24"/>
        </w:rPr>
        <w:t>结算</w:t>
      </w:r>
    </w:p>
    <w:p w14:paraId="79691CC4" w14:textId="7FE8606C"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w:t>
      </w:r>
      <w:proofErr w:type="gramStart"/>
      <w:r>
        <w:rPr>
          <w:rFonts w:ascii="宋体" w:hAnsi="宋体" w:cs="Arial" w:hint="eastAsia"/>
          <w:sz w:val="24"/>
        </w:rPr>
        <w:t>交收日</w:t>
      </w:r>
      <w:proofErr w:type="gramEnd"/>
      <w:r>
        <w:rPr>
          <w:rFonts w:ascii="宋体" w:hAnsi="宋体" w:cs="Arial" w:hint="eastAsia"/>
          <w:sz w:val="24"/>
        </w:rPr>
        <w:t>15:00时之前从基金清算账户划到基金资金账户，基金管理人通过基金托管人提供的方式查询结果；当存在资金账户净应付额时，基金管理人应在</w:t>
      </w:r>
      <w:proofErr w:type="gramStart"/>
      <w:r>
        <w:rPr>
          <w:rFonts w:ascii="宋体" w:hAnsi="宋体" w:cs="Arial" w:hint="eastAsia"/>
          <w:sz w:val="24"/>
        </w:rPr>
        <w:t>交收日</w:t>
      </w:r>
      <w:proofErr w:type="gramEnd"/>
      <w:r>
        <w:rPr>
          <w:rFonts w:ascii="宋体" w:hAnsi="宋体" w:cs="Arial" w:hint="eastAsia"/>
          <w:sz w:val="24"/>
        </w:rPr>
        <w:t>10：00之前将划款指令发送给基金托管人，基金托管人按照基金管理人的划款指令将托管账户净应付额在</w:t>
      </w:r>
      <w:proofErr w:type="gramStart"/>
      <w:r>
        <w:rPr>
          <w:rFonts w:ascii="宋体" w:hAnsi="宋体" w:cs="Arial" w:hint="eastAsia"/>
          <w:sz w:val="24"/>
        </w:rPr>
        <w:t>交收日</w:t>
      </w:r>
      <w:proofErr w:type="gramEnd"/>
      <w:r w:rsidRPr="007E0E31">
        <w:rPr>
          <w:rFonts w:ascii="宋体" w:hAnsi="宋体" w:cs="Arial"/>
          <w:sz w:val="24"/>
        </w:rPr>
        <w:t>1</w:t>
      </w:r>
      <w:r>
        <w:rPr>
          <w:rFonts w:ascii="宋体" w:hAnsi="宋体" w:cs="Arial" w:hint="eastAsia"/>
          <w:sz w:val="24"/>
        </w:rPr>
        <w:t>5</w:t>
      </w:r>
      <w:r w:rsidRPr="007E0E31">
        <w:rPr>
          <w:rFonts w:ascii="宋体" w:hAnsi="宋体" w:cs="Arial"/>
          <w:sz w:val="24"/>
        </w:rPr>
        <w:t>:00之前</w:t>
      </w:r>
      <w:proofErr w:type="gramStart"/>
      <w:r>
        <w:rPr>
          <w:rFonts w:ascii="宋体" w:hAnsi="宋体" w:cs="Arial" w:hint="eastAsia"/>
          <w:sz w:val="24"/>
        </w:rPr>
        <w:t>划往基金</w:t>
      </w:r>
      <w:proofErr w:type="gramEnd"/>
      <w:r>
        <w:rPr>
          <w:rFonts w:ascii="宋体" w:hAnsi="宋体" w:cs="Arial" w:hint="eastAsia"/>
          <w:sz w:val="24"/>
        </w:rPr>
        <w:t>清算账户，基金管理人通过基金托管人提供的方式查询结果。</w:t>
      </w:r>
    </w:p>
    <w:p w14:paraId="3203B8D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（五）基金转换</w:t>
      </w:r>
    </w:p>
    <w:p w14:paraId="53D7E9D3"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1.在本基金与基金管理人管理的其它基金开展转换业务之前，基金管理人应函告基金托管人并就相关事宜进行协商。</w:t>
      </w:r>
    </w:p>
    <w:p w14:paraId="1D3220F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2.基金托管人将根据基金管理人传送的基金转换数据进行账务处理，</w:t>
      </w:r>
      <w:proofErr w:type="gramStart"/>
      <w:r>
        <w:rPr>
          <w:rFonts w:ascii="宋体" w:hAnsi="宋体" w:cs="Arial" w:hint="eastAsia"/>
          <w:sz w:val="24"/>
        </w:rPr>
        <w:t>具体资金</w:t>
      </w:r>
      <w:proofErr w:type="gramEnd"/>
      <w:r>
        <w:rPr>
          <w:rFonts w:ascii="宋体" w:hAnsi="宋体" w:cs="Arial" w:hint="eastAsia"/>
          <w:sz w:val="24"/>
        </w:rPr>
        <w:t>清算和数据传递的时间、程序及托管协议当事人承担的权责按基金管理人届时的公告执行。</w:t>
      </w:r>
    </w:p>
    <w:p w14:paraId="2726768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3.本基金开展基金转换业务应按相关法律法规规定及《基金合同》的约定进行公告。</w:t>
      </w:r>
    </w:p>
    <w:p w14:paraId="099CC1C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（六）基金现金分红</w:t>
      </w:r>
    </w:p>
    <w:p w14:paraId="5DC2A86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1.基金管理人确定分红方案通知基金托管人，双方核定后</w:t>
      </w:r>
      <w:r>
        <w:rPr>
          <w:rFonts w:ascii="宋体" w:hAnsi="宋体" w:hint="eastAsia"/>
          <w:sz w:val="24"/>
          <w:szCs w:val="18"/>
        </w:rPr>
        <w:t>依照《公开募集证券投资基金信息披露管理办法》的有关规定在中国证监会规定媒介上公告</w:t>
      </w:r>
      <w:r>
        <w:rPr>
          <w:rFonts w:ascii="宋体" w:hAnsi="宋体" w:cs="Arial" w:hint="eastAsia"/>
          <w:sz w:val="24"/>
        </w:rPr>
        <w:t>。</w:t>
      </w:r>
    </w:p>
    <w:p w14:paraId="0FC2C78B" w14:textId="77777777" w:rsidR="00255B24" w:rsidRDefault="00F94547">
      <w:pPr>
        <w:adjustRightInd w:val="0"/>
        <w:snapToGrid w:val="0"/>
        <w:spacing w:line="360" w:lineRule="auto"/>
        <w:ind w:firstLine="480"/>
        <w:rPr>
          <w:rFonts w:ascii="宋体" w:hAnsi="宋体" w:cs="Arial"/>
          <w:sz w:val="24"/>
        </w:rPr>
      </w:pPr>
      <w:r>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3E6DD05A" w14:textId="77777777" w:rsidR="00255B24" w:rsidRDefault="00F94547">
      <w:pPr>
        <w:spacing w:line="360" w:lineRule="auto"/>
        <w:ind w:firstLine="480"/>
        <w:rPr>
          <w:rFonts w:ascii="宋体" w:hAnsi="宋体" w:cs="Arial"/>
          <w:sz w:val="24"/>
        </w:rPr>
      </w:pPr>
      <w:r>
        <w:rPr>
          <w:rFonts w:ascii="宋体" w:hAnsi="宋体" w:cs="Arial" w:hint="eastAsia"/>
          <w:sz w:val="24"/>
        </w:rPr>
        <w:lastRenderedPageBreak/>
        <w:t>3.基金管理人在下达指令时，应给基金托管人留出必需的划款时间。</w:t>
      </w:r>
    </w:p>
    <w:p w14:paraId="15DED0A8" w14:textId="77777777" w:rsidR="00255B24" w:rsidRDefault="00F94547">
      <w:pPr>
        <w:spacing w:line="360" w:lineRule="auto"/>
        <w:ind w:firstLine="480"/>
        <w:rPr>
          <w:rFonts w:ascii="宋体" w:hAnsi="宋体" w:cs="Arial"/>
          <w:sz w:val="24"/>
        </w:rPr>
      </w:pPr>
      <w:r>
        <w:rPr>
          <w:rFonts w:ascii="宋体" w:hAnsi="宋体" w:cs="Arial" w:hint="eastAsia"/>
          <w:sz w:val="24"/>
        </w:rPr>
        <w:t>（七）投资银行存款的特别约定</w:t>
      </w:r>
    </w:p>
    <w:p w14:paraId="1FF78D35" w14:textId="77777777" w:rsidR="00255B24" w:rsidRDefault="00F94547">
      <w:pPr>
        <w:spacing w:line="360" w:lineRule="auto"/>
        <w:ind w:firstLine="480"/>
        <w:rPr>
          <w:rFonts w:ascii="宋体" w:hAnsi="宋体" w:cs="Arial"/>
          <w:sz w:val="24"/>
        </w:rPr>
      </w:pPr>
      <w:r>
        <w:rPr>
          <w:rFonts w:ascii="宋体" w:hAnsi="宋体" w:cs="Arial" w:hint="eastAsia"/>
          <w:sz w:val="24"/>
        </w:rPr>
        <w:t>1.本基金投资银行存款前，基金管理人应与存款银行签订具体存款协议，包括但不限于以下内容：</w:t>
      </w:r>
    </w:p>
    <w:p w14:paraId="76F0EB5D" w14:textId="77777777" w:rsidR="00255B24" w:rsidRDefault="00F94547">
      <w:pPr>
        <w:spacing w:line="360" w:lineRule="auto"/>
        <w:ind w:firstLine="480"/>
        <w:rPr>
          <w:rFonts w:ascii="宋体" w:hAnsi="宋体" w:cs="Arial"/>
          <w:sz w:val="24"/>
        </w:rPr>
      </w:pPr>
      <w:r>
        <w:rPr>
          <w:rFonts w:ascii="宋体"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宋体" w:hAnsi="宋体" w:cs="Arial" w:hint="eastAsia"/>
          <w:sz w:val="24"/>
        </w:rPr>
        <w:t>本息划往任何</w:t>
      </w:r>
      <w:proofErr w:type="gramEnd"/>
      <w:r>
        <w:rPr>
          <w:rFonts w:ascii="宋体" w:hAnsi="宋体" w:cs="Arial" w:hint="eastAsia"/>
          <w:sz w:val="24"/>
        </w:rPr>
        <w:t>其他账户。</w:t>
      </w:r>
    </w:p>
    <w:p w14:paraId="13824912" w14:textId="77777777" w:rsidR="00255B24" w:rsidRDefault="00F94547">
      <w:pPr>
        <w:spacing w:line="360" w:lineRule="auto"/>
        <w:ind w:firstLine="480"/>
        <w:rPr>
          <w:rFonts w:ascii="宋体" w:hAnsi="宋体" w:cs="Arial"/>
          <w:sz w:val="24"/>
        </w:rPr>
      </w:pPr>
      <w:r>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839FBCD" w14:textId="77777777" w:rsidR="00255B24" w:rsidRDefault="00F94547">
      <w:pPr>
        <w:spacing w:line="360" w:lineRule="auto"/>
        <w:ind w:firstLine="480"/>
        <w:rPr>
          <w:rFonts w:ascii="宋体" w:hAnsi="宋体" w:cs="Arial"/>
          <w:sz w:val="24"/>
        </w:rPr>
      </w:pPr>
      <w:r>
        <w:rPr>
          <w:rFonts w:ascii="宋体" w:hAnsi="宋体" w:cs="Arial" w:hint="eastAsia"/>
          <w:sz w:val="24"/>
        </w:rPr>
        <w:t>（3）约定存款证实书的具体传递交接方式及交接期限。</w:t>
      </w:r>
    </w:p>
    <w:p w14:paraId="337DAD28" w14:textId="77777777" w:rsidR="00255B24" w:rsidRDefault="00F94547">
      <w:pPr>
        <w:spacing w:line="360" w:lineRule="auto"/>
        <w:ind w:firstLine="480"/>
        <w:rPr>
          <w:rFonts w:ascii="宋体" w:hAnsi="宋体" w:cs="Arial"/>
          <w:sz w:val="24"/>
        </w:rPr>
      </w:pPr>
      <w:r>
        <w:rPr>
          <w:rFonts w:ascii="宋体" w:hAnsi="宋体" w:cs="Arial" w:hint="eastAsia"/>
          <w:sz w:val="24"/>
        </w:rPr>
        <w:t>（4）资金划转过程中需要使用存款银行过渡账户的，存款银行须保证资金在过渡账户中不出现滞留，不被挪用。</w:t>
      </w:r>
    </w:p>
    <w:p w14:paraId="7768AE8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5FC201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4683B9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宋体" w:hAnsi="宋体" w:cs="Arial" w:hint="eastAsia"/>
          <w:sz w:val="24"/>
        </w:rPr>
        <w:t>函管</w:t>
      </w:r>
      <w:proofErr w:type="gramEnd"/>
      <w:r>
        <w:rPr>
          <w:rFonts w:ascii="宋体"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w:t>
      </w:r>
      <w:r>
        <w:rPr>
          <w:rFonts w:ascii="宋体" w:hAnsi="宋体" w:cs="Arial" w:hint="eastAsia"/>
          <w:sz w:val="24"/>
        </w:rPr>
        <w:lastRenderedPageBreak/>
        <w:t>托管账户的，以及因发生特殊情况由管理人提供相关书面说明并重新承诺送单截止时间的，可剔除不计。</w:t>
      </w:r>
    </w:p>
    <w:p w14:paraId="39EDFF83" w14:textId="77777777" w:rsidR="00255B24" w:rsidRDefault="00F94547">
      <w:pPr>
        <w:widowControl/>
        <w:jc w:val="left"/>
        <w:rPr>
          <w:rFonts w:ascii="宋体" w:hAnsi="宋体" w:cs="Arial"/>
          <w:sz w:val="24"/>
        </w:rPr>
      </w:pPr>
      <w:r>
        <w:rPr>
          <w:rFonts w:ascii="宋体" w:hAnsi="宋体" w:cs="Arial"/>
          <w:sz w:val="24"/>
        </w:rPr>
        <w:br w:type="page"/>
      </w:r>
    </w:p>
    <w:p w14:paraId="7A7004A6" w14:textId="77777777" w:rsidR="00255B24" w:rsidRDefault="00F94547">
      <w:pPr>
        <w:pStyle w:val="2"/>
        <w:spacing w:before="0" w:after="0" w:line="360" w:lineRule="auto"/>
        <w:jc w:val="center"/>
        <w:rPr>
          <w:rFonts w:ascii="宋体" w:eastAsia="宋体" w:hAnsi="宋体"/>
          <w:sz w:val="30"/>
        </w:rPr>
      </w:pPr>
      <w:bookmarkStart w:id="88" w:name="_Toc114149846"/>
      <w:r>
        <w:rPr>
          <w:rFonts w:ascii="宋体" w:eastAsia="宋体" w:hAnsi="宋体" w:hint="eastAsia"/>
          <w:sz w:val="30"/>
        </w:rPr>
        <w:lastRenderedPageBreak/>
        <w:t>八、基金资产净值计算和会计核算</w:t>
      </w:r>
      <w:bookmarkEnd w:id="88"/>
    </w:p>
    <w:p w14:paraId="366F601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（一）基金资产净值的计算、复核与完成的时间及程序</w:t>
      </w:r>
    </w:p>
    <w:p w14:paraId="69C75D0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1.基金资产净值是指基金资产总值减去负债后的金额。各类基金份额净值是按照每个工作日闭市后，该类基金资产净值除以当日该类基金份额的余额数量计算，均精确到0.00</w:t>
      </w:r>
      <w:r>
        <w:rPr>
          <w:rFonts w:ascii="宋体" w:hAnsi="宋体" w:cs="Arial"/>
          <w:sz w:val="24"/>
        </w:rPr>
        <w:t>0</w:t>
      </w:r>
      <w:r>
        <w:rPr>
          <w:rFonts w:ascii="宋体" w:hAnsi="宋体" w:cs="Arial" w:hint="eastAsia"/>
          <w:sz w:val="24"/>
        </w:rPr>
        <w:t>1元，小数点后第五位四舍五入。基金管理人可以设立大额赎回情形下的净值精度应急调整机制。国家另有规定的，从其规定。</w:t>
      </w:r>
    </w:p>
    <w:p w14:paraId="6773A16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基金管理人于每个工作日计算基金资产净值及各类基金份额的基金份额净值，并按规定公告。</w:t>
      </w:r>
    </w:p>
    <w:p w14:paraId="5A04DA9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w:t>
      </w:r>
      <w:proofErr w:type="gramStart"/>
      <w:r>
        <w:rPr>
          <w:rFonts w:ascii="宋体" w:hAnsi="宋体" w:cs="Arial" w:hint="eastAsia"/>
          <w:sz w:val="24"/>
        </w:rPr>
        <w:t>应每个</w:t>
      </w:r>
      <w:proofErr w:type="gramEnd"/>
      <w:r>
        <w:rPr>
          <w:rFonts w:ascii="宋体" w:hAnsi="宋体" w:cs="Arial" w:hint="eastAsia"/>
          <w:sz w:val="24"/>
        </w:rPr>
        <w:t>工作日对基金资产估值。但基金管理人根据法律法规或《基金合同》的规定暂停估值时除外。基金管理人每个工作日对基金资产估值后，将</w:t>
      </w:r>
      <w:r>
        <w:rPr>
          <w:rFonts w:hint="eastAsia"/>
          <w:bCs/>
          <w:sz w:val="24"/>
        </w:rPr>
        <w:t>各类基金份额的</w:t>
      </w:r>
      <w:r>
        <w:rPr>
          <w:rFonts w:ascii="宋体" w:hAnsi="宋体" w:cs="Arial" w:hint="eastAsia"/>
          <w:sz w:val="24"/>
        </w:rPr>
        <w:t>基金份额净值结果发送基金托管人，经基金托管人复核无误后，由基金管理人按约定对外公布。</w:t>
      </w:r>
    </w:p>
    <w:p w14:paraId="0742C6B3" w14:textId="77777777" w:rsidR="00255B24" w:rsidRDefault="00F94547">
      <w:pPr>
        <w:spacing w:line="360" w:lineRule="auto"/>
        <w:ind w:firstLineChars="200" w:firstLine="480"/>
        <w:rPr>
          <w:rFonts w:ascii="宋体" w:hAnsi="宋体" w:cs="Arial"/>
          <w:sz w:val="24"/>
        </w:rPr>
      </w:pPr>
      <w:r>
        <w:rPr>
          <w:rFonts w:ascii="宋体" w:hAnsi="宋体" w:cs="Arial" w:hint="eastAsia"/>
          <w:sz w:val="24"/>
        </w:rPr>
        <w:t>（二）基金资产估值方法和特殊情形的处理</w:t>
      </w:r>
    </w:p>
    <w:p w14:paraId="27CD6D7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1.估值对象</w:t>
      </w:r>
    </w:p>
    <w:p w14:paraId="0EED16B2" w14:textId="77777777" w:rsidR="00255B24" w:rsidRDefault="00F94547">
      <w:pPr>
        <w:adjustRightInd w:val="0"/>
        <w:snapToGrid w:val="0"/>
        <w:spacing w:line="360" w:lineRule="auto"/>
        <w:ind w:firstLineChars="200" w:firstLine="480"/>
        <w:rPr>
          <w:rFonts w:ascii="宋体" w:hAnsi="宋体" w:cs="Arial"/>
          <w:sz w:val="24"/>
        </w:rPr>
      </w:pPr>
      <w:r>
        <w:rPr>
          <w:rFonts w:hint="eastAsia"/>
          <w:bCs/>
          <w:sz w:val="24"/>
        </w:rPr>
        <w:t>基金所拥有的股票、股指期货合约、国债期货合约、股票期权合约、资产支持证券、债券和银行存款本息、应收款项、其它投资等资产及负债。</w:t>
      </w:r>
    </w:p>
    <w:p w14:paraId="388C617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hint="eastAsia"/>
          <w:sz w:val="24"/>
        </w:rPr>
        <w:t>估值原则</w:t>
      </w:r>
    </w:p>
    <w:p w14:paraId="7C82D70E" w14:textId="77777777" w:rsidR="00255B24" w:rsidRDefault="00F94547">
      <w:pPr>
        <w:spacing w:line="360" w:lineRule="auto"/>
        <w:ind w:firstLineChars="200" w:firstLine="480"/>
        <w:rPr>
          <w:bCs/>
          <w:sz w:val="24"/>
          <w:szCs w:val="20"/>
        </w:rPr>
      </w:pPr>
      <w:r>
        <w:rPr>
          <w:rFonts w:hint="eastAsia"/>
          <w:bCs/>
          <w:sz w:val="24"/>
        </w:rPr>
        <w:t>基金管理人在确定相关金融资产和金融负债的公允价值时，应符合《企业会计准则》、监管部门有关规定。</w:t>
      </w:r>
    </w:p>
    <w:p w14:paraId="42813E54" w14:textId="77777777" w:rsidR="00255B24" w:rsidRDefault="00F9454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340FB4C" w14:textId="77777777" w:rsidR="00255B24" w:rsidRDefault="00F94547">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EF58A33" w14:textId="77777777" w:rsidR="00255B24" w:rsidRDefault="00F94547">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CC3761B" w14:textId="77777777" w:rsidR="00255B24" w:rsidRDefault="00F94547">
      <w:pPr>
        <w:adjustRightInd w:val="0"/>
        <w:snapToGrid w:val="0"/>
        <w:spacing w:line="360" w:lineRule="auto"/>
        <w:ind w:firstLineChars="200" w:firstLine="480"/>
        <w:rPr>
          <w:rFonts w:ascii="宋体" w:hAnsi="宋体" w:cs="Arial"/>
          <w:sz w:val="24"/>
        </w:rPr>
      </w:pPr>
      <w:r>
        <w:rPr>
          <w:rFonts w:hint="eastAsia"/>
          <w:bCs/>
          <w:sz w:val="24"/>
        </w:rPr>
        <w:t>（</w:t>
      </w: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以上的，应对估值进行调整并确定公允价值。</w:t>
      </w:r>
    </w:p>
    <w:p w14:paraId="0196D0C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hint="eastAsia"/>
          <w:bCs/>
          <w:sz w:val="24"/>
        </w:rPr>
        <w:t>估值方法</w:t>
      </w:r>
    </w:p>
    <w:p w14:paraId="11D39259" w14:textId="77777777" w:rsidR="00255B24" w:rsidRDefault="00F94547">
      <w:pPr>
        <w:spacing w:line="360" w:lineRule="auto"/>
        <w:ind w:firstLineChars="200" w:firstLine="480"/>
        <w:rPr>
          <w:bCs/>
          <w:sz w:val="24"/>
          <w:szCs w:val="20"/>
        </w:rPr>
      </w:pPr>
      <w:r>
        <w:rPr>
          <w:rFonts w:hint="eastAsia"/>
          <w:bCs/>
          <w:sz w:val="24"/>
        </w:rPr>
        <w:t>（</w:t>
      </w:r>
      <w:r>
        <w:rPr>
          <w:bCs/>
          <w:sz w:val="24"/>
        </w:rPr>
        <w:t>1</w:t>
      </w:r>
      <w:r>
        <w:rPr>
          <w:rFonts w:hint="eastAsia"/>
          <w:bCs/>
          <w:sz w:val="24"/>
        </w:rPr>
        <w:t>）证券交易所上市的有价证券的估值</w:t>
      </w:r>
    </w:p>
    <w:p w14:paraId="7CA21B13" w14:textId="77777777" w:rsidR="00255B24" w:rsidRDefault="00F94547">
      <w:pPr>
        <w:spacing w:line="360" w:lineRule="auto"/>
        <w:ind w:firstLineChars="200" w:firstLine="480"/>
        <w:rPr>
          <w:bCs/>
          <w:sz w:val="24"/>
        </w:rPr>
      </w:pPr>
      <w:r>
        <w:rPr>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F59CD3" w14:textId="77777777" w:rsidR="00255B24" w:rsidRDefault="00F94547">
      <w:pPr>
        <w:spacing w:line="360" w:lineRule="auto"/>
        <w:ind w:firstLineChars="200" w:firstLine="480"/>
        <w:rPr>
          <w:bCs/>
          <w:sz w:val="24"/>
        </w:rPr>
      </w:pPr>
      <w:r>
        <w:rPr>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收益品种（另有规定的除外），选取估值日第三方估值机构提供的相应品种当日的估值净价进行估值；</w:t>
      </w:r>
    </w:p>
    <w:p w14:paraId="768E490E" w14:textId="77777777" w:rsidR="00255B24" w:rsidRDefault="00F94547">
      <w:pPr>
        <w:spacing w:line="360" w:lineRule="auto"/>
        <w:ind w:firstLineChars="200" w:firstLine="480"/>
        <w:rPr>
          <w:bCs/>
          <w:sz w:val="24"/>
        </w:rPr>
      </w:pPr>
      <w:r>
        <w:rPr>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收益品种（另有规定的除外），选取估值日第三方估值机构提供的相应品种当日的唯一估值净价或推荐估值净价进行估值；</w:t>
      </w:r>
    </w:p>
    <w:p w14:paraId="4B958869" w14:textId="77777777" w:rsidR="00255B24" w:rsidRDefault="00F94547">
      <w:pPr>
        <w:spacing w:line="360" w:lineRule="auto"/>
        <w:ind w:firstLineChars="200" w:firstLine="480"/>
        <w:rPr>
          <w:rFonts w:ascii="宋体" w:hAnsi="宋体"/>
          <w:bCs/>
          <w:sz w:val="24"/>
        </w:rPr>
      </w:pPr>
      <w:r>
        <w:rPr>
          <w:bCs/>
          <w:sz w:val="24"/>
        </w:rPr>
        <w:t>4</w:t>
      </w:r>
      <w:r>
        <w:rPr>
          <w:rFonts w:hint="eastAsia"/>
          <w:bCs/>
          <w:sz w:val="24"/>
        </w:rPr>
        <w:t>）</w:t>
      </w:r>
      <w:r>
        <w:rPr>
          <w:rFonts w:ascii="宋体" w:hAnsi="宋体" w:hint="eastAsia"/>
          <w:bCs/>
          <w:sz w:val="24"/>
        </w:rPr>
        <w:t>交易所上市交易的</w:t>
      </w:r>
      <w:r>
        <w:rPr>
          <w:rFonts w:ascii="宋体" w:hAnsi="宋体" w:hint="eastAsia"/>
          <w:sz w:val="24"/>
        </w:rPr>
        <w:t>可转换债券</w:t>
      </w:r>
      <w:r>
        <w:rPr>
          <w:rFonts w:ascii="宋体" w:hAnsi="宋体" w:hint="eastAsia"/>
          <w:bCs/>
          <w:sz w:val="24"/>
        </w:rPr>
        <w:t>、实行全价交易的可交换债券</w:t>
      </w:r>
      <w:r>
        <w:rPr>
          <w:rFonts w:hint="eastAsia"/>
          <w:bCs/>
          <w:sz w:val="24"/>
        </w:rPr>
        <w:t>选取估值日收盘价作为估值全价</w:t>
      </w:r>
      <w:r>
        <w:rPr>
          <w:rFonts w:ascii="宋体" w:hAnsi="宋体" w:hint="eastAsia"/>
          <w:bCs/>
          <w:sz w:val="24"/>
        </w:rPr>
        <w:t>；估值日无交易的，且最近交易日后经济环境未发生重大变化或债券发行机构未发生影响债券价格的重大事件的，按最近交易日债券收盘价减去债券收盘价中所含的债券应收利息得到的净价进行估值。如最近交易日后经济环境发生了重大变化或债券发行机构发生影响债券价格的重大事件的，可参考类似投资品种的现行市价及重大变化因素，调整最近交易市价，确定公允价格；</w:t>
      </w:r>
    </w:p>
    <w:p w14:paraId="429EF465" w14:textId="77777777" w:rsidR="00255B24" w:rsidRDefault="00F94547">
      <w:pPr>
        <w:spacing w:line="360" w:lineRule="auto"/>
        <w:ind w:firstLineChars="200" w:firstLine="480"/>
        <w:rPr>
          <w:rFonts w:ascii="宋体" w:hAnsi="宋体"/>
          <w:bCs/>
          <w:sz w:val="24"/>
        </w:rPr>
      </w:pPr>
      <w:r>
        <w:rPr>
          <w:rFonts w:ascii="宋体" w:hAnsi="宋体" w:hint="eastAsia"/>
          <w:sz w:val="24"/>
        </w:rPr>
        <w:t>交易所上市实行</w:t>
      </w:r>
      <w:r>
        <w:rPr>
          <w:rFonts w:ascii="宋体" w:hAnsi="宋体" w:hint="eastAsia"/>
          <w:bCs/>
          <w:sz w:val="24"/>
        </w:rPr>
        <w:t>净价</w:t>
      </w:r>
      <w:r>
        <w:rPr>
          <w:rFonts w:ascii="宋体" w:hAnsi="宋体" w:hint="eastAsia"/>
          <w:sz w:val="24"/>
        </w:rPr>
        <w:t>交易的</w:t>
      </w:r>
      <w:r>
        <w:rPr>
          <w:rFonts w:ascii="宋体" w:hAnsi="宋体" w:hint="eastAsia"/>
          <w:bCs/>
          <w:sz w:val="24"/>
        </w:rPr>
        <w:t>可交换</w:t>
      </w:r>
      <w:r>
        <w:rPr>
          <w:rFonts w:ascii="宋体" w:hAnsi="宋体" w:hint="eastAsia"/>
          <w:sz w:val="24"/>
        </w:rPr>
        <w:t>债券</w:t>
      </w:r>
      <w:r>
        <w:rPr>
          <w:rFonts w:ascii="宋体" w:hAnsi="宋体" w:hint="eastAsia"/>
          <w:bCs/>
          <w:sz w:val="24"/>
        </w:rPr>
        <w:t>，按</w:t>
      </w:r>
      <w:r>
        <w:rPr>
          <w:rFonts w:ascii="宋体" w:hAnsi="宋体" w:hint="eastAsia"/>
          <w:sz w:val="24"/>
        </w:rPr>
        <w:t>估值</w:t>
      </w:r>
      <w:r>
        <w:rPr>
          <w:rFonts w:ascii="宋体" w:hAnsi="宋体" w:hint="eastAsia"/>
          <w:bCs/>
          <w:sz w:val="24"/>
        </w:rPr>
        <w:t>日</w:t>
      </w:r>
      <w:r>
        <w:rPr>
          <w:rFonts w:ascii="宋体" w:hAnsi="宋体" w:hint="eastAsia"/>
          <w:sz w:val="24"/>
        </w:rPr>
        <w:t>的</w:t>
      </w:r>
      <w:r>
        <w:rPr>
          <w:rFonts w:ascii="宋体" w:hAnsi="宋体" w:hint="eastAsia"/>
          <w:bCs/>
          <w:sz w:val="24"/>
        </w:rPr>
        <w:t>收盘价</w:t>
      </w:r>
      <w:r>
        <w:rPr>
          <w:rFonts w:ascii="宋体" w:hAnsi="宋体" w:hint="eastAsia"/>
          <w:sz w:val="24"/>
        </w:rPr>
        <w:t>估值</w:t>
      </w:r>
      <w:r>
        <w:rPr>
          <w:rFonts w:ascii="宋体" w:hAnsi="宋体" w:hint="eastAsia"/>
          <w:bCs/>
          <w:sz w:val="24"/>
        </w:rPr>
        <w:t>；</w:t>
      </w:r>
      <w:r>
        <w:rPr>
          <w:rFonts w:ascii="宋体" w:hAnsi="宋体" w:hint="eastAsia"/>
          <w:sz w:val="24"/>
        </w:rPr>
        <w:t>估值</w:t>
      </w:r>
      <w:r>
        <w:rPr>
          <w:rFonts w:ascii="宋体" w:hAnsi="宋体" w:hint="eastAsia"/>
          <w:bCs/>
          <w:sz w:val="24"/>
        </w:rPr>
        <w:t>日无交易</w:t>
      </w:r>
      <w:r>
        <w:rPr>
          <w:rFonts w:ascii="宋体" w:hAnsi="宋体" w:hint="eastAsia"/>
          <w:sz w:val="24"/>
        </w:rPr>
        <w:t>的</w:t>
      </w:r>
      <w:r>
        <w:rPr>
          <w:rFonts w:ascii="宋体" w:hAnsi="宋体" w:hint="eastAsia"/>
          <w:bCs/>
          <w:sz w:val="24"/>
        </w:rPr>
        <w:t>，且最近交易日后经济环境未发生重大变化或</w:t>
      </w:r>
      <w:r>
        <w:rPr>
          <w:rFonts w:ascii="宋体" w:hAnsi="宋体" w:hint="eastAsia"/>
          <w:sz w:val="24"/>
        </w:rPr>
        <w:t>债券</w:t>
      </w:r>
      <w:r>
        <w:rPr>
          <w:rFonts w:ascii="宋体" w:hAnsi="宋体" w:hint="eastAsia"/>
          <w:bCs/>
          <w:sz w:val="24"/>
        </w:rPr>
        <w:t>发行机构未发生影响债券价格</w:t>
      </w:r>
      <w:r>
        <w:rPr>
          <w:rFonts w:ascii="宋体" w:hAnsi="宋体" w:hint="eastAsia"/>
          <w:sz w:val="24"/>
        </w:rPr>
        <w:t>的</w:t>
      </w:r>
      <w:r>
        <w:rPr>
          <w:rFonts w:ascii="宋体" w:hAnsi="宋体" w:hint="eastAsia"/>
          <w:bCs/>
          <w:sz w:val="24"/>
        </w:rPr>
        <w:t>重大事件的，按最近交易日债券收盘价</w:t>
      </w:r>
      <w:r>
        <w:rPr>
          <w:rFonts w:ascii="宋体" w:hAnsi="宋体" w:hint="eastAsia"/>
          <w:sz w:val="24"/>
        </w:rPr>
        <w:t>估值。</w:t>
      </w:r>
      <w:r>
        <w:rPr>
          <w:rFonts w:ascii="宋体" w:hAnsi="宋体" w:hint="eastAsia"/>
          <w:bCs/>
          <w:sz w:val="24"/>
        </w:rPr>
        <w:t>如最近交易日后经济环境发生了重大变化或债券发行机构发生影响债券价格的重大事件的，可参考类似投资品</w:t>
      </w:r>
      <w:r>
        <w:rPr>
          <w:rFonts w:ascii="宋体" w:hAnsi="宋体" w:hint="eastAsia"/>
          <w:bCs/>
          <w:sz w:val="24"/>
        </w:rPr>
        <w:lastRenderedPageBreak/>
        <w:t>种的现行市价及重大变化因素，调整最近交易市价，确定公允价格；</w:t>
      </w:r>
    </w:p>
    <w:p w14:paraId="67128EC5" w14:textId="77777777" w:rsidR="00255B24" w:rsidRDefault="00F94547">
      <w:pPr>
        <w:spacing w:line="360" w:lineRule="auto"/>
        <w:ind w:firstLineChars="200" w:firstLine="480"/>
        <w:rPr>
          <w:rFonts w:ascii="宋体" w:hAnsi="宋体"/>
          <w:bCs/>
          <w:sz w:val="24"/>
        </w:rPr>
      </w:pPr>
      <w:r>
        <w:rPr>
          <w:rFonts w:ascii="宋体" w:hAnsi="宋体" w:hint="eastAsia"/>
          <w:bCs/>
          <w:sz w:val="24"/>
        </w:rPr>
        <w:t>交易所上市实行全价交易的债券（可转债、可交换债除外），选取第三方估值机构提供的估值全价减去估值全价中所含的债券应收利息得到的净价进行估值</w:t>
      </w:r>
      <w:r>
        <w:rPr>
          <w:rFonts w:hint="eastAsia"/>
          <w:bCs/>
          <w:sz w:val="24"/>
        </w:rPr>
        <w:t>；</w:t>
      </w:r>
    </w:p>
    <w:p w14:paraId="4DFC11BA" w14:textId="77777777" w:rsidR="00255B24" w:rsidRDefault="00F94547">
      <w:pPr>
        <w:spacing w:line="360" w:lineRule="auto"/>
        <w:ind w:firstLineChars="200" w:firstLine="480"/>
        <w:rPr>
          <w:bCs/>
          <w:sz w:val="24"/>
        </w:rPr>
      </w:pPr>
      <w:r>
        <w:rPr>
          <w:bCs/>
          <w:sz w:val="24"/>
        </w:rPr>
        <w:t>5</w:t>
      </w:r>
      <w:r>
        <w:rPr>
          <w:rFonts w:hint="eastAsia"/>
          <w:bCs/>
          <w:sz w:val="24"/>
        </w:rPr>
        <w:t>）交易所上市不存在活跃市场的有价证券，采用估值技术确定公允价值；交易所市场挂牌转让的资产支持证券，采用估值技术确定公允价值；</w:t>
      </w:r>
    </w:p>
    <w:p w14:paraId="5A40F791" w14:textId="77777777" w:rsidR="00255B24" w:rsidRDefault="00F94547">
      <w:pPr>
        <w:spacing w:line="360" w:lineRule="auto"/>
        <w:ind w:firstLineChars="200" w:firstLine="480"/>
        <w:rPr>
          <w:bCs/>
          <w:sz w:val="24"/>
        </w:rPr>
      </w:pPr>
      <w:r>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9665E34" w14:textId="77777777" w:rsidR="00255B24" w:rsidRDefault="00F94547">
      <w:pPr>
        <w:spacing w:line="360" w:lineRule="auto"/>
        <w:ind w:firstLineChars="200" w:firstLine="480"/>
        <w:rPr>
          <w:bCs/>
          <w:sz w:val="24"/>
        </w:rPr>
      </w:pPr>
      <w:r>
        <w:rPr>
          <w:rFonts w:hint="eastAsia"/>
          <w:bCs/>
          <w:sz w:val="24"/>
        </w:rPr>
        <w:t>（</w:t>
      </w:r>
      <w:r>
        <w:rPr>
          <w:bCs/>
          <w:sz w:val="24"/>
        </w:rPr>
        <w:t>2</w:t>
      </w:r>
      <w:r>
        <w:rPr>
          <w:rFonts w:hint="eastAsia"/>
          <w:bCs/>
          <w:sz w:val="24"/>
        </w:rPr>
        <w:t>）处于未上市期间的有价证券应区分如下情况处理：</w:t>
      </w:r>
    </w:p>
    <w:p w14:paraId="3738B347" w14:textId="77777777" w:rsidR="00255B24" w:rsidRDefault="00F94547">
      <w:pPr>
        <w:spacing w:line="360" w:lineRule="auto"/>
        <w:ind w:firstLineChars="200" w:firstLine="480"/>
        <w:rPr>
          <w:bCs/>
          <w:sz w:val="24"/>
        </w:rPr>
      </w:pP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15428216" w14:textId="77777777" w:rsidR="00255B24" w:rsidRDefault="00F94547">
      <w:pPr>
        <w:spacing w:line="360" w:lineRule="auto"/>
        <w:ind w:firstLineChars="200" w:firstLine="480"/>
        <w:rPr>
          <w:bCs/>
          <w:sz w:val="24"/>
        </w:rPr>
      </w:pPr>
      <w:r>
        <w:rPr>
          <w:bCs/>
          <w:sz w:val="24"/>
        </w:rPr>
        <w:t>2</w:t>
      </w:r>
      <w:r>
        <w:rPr>
          <w:rFonts w:hint="eastAsia"/>
          <w:bCs/>
          <w:sz w:val="24"/>
        </w:rPr>
        <w:t>）首次公开发行未上市的股票、债券，采用估值技术确定公允价值，在估值技术难以可靠计量公允价值的情况下，按成本估值；</w:t>
      </w:r>
    </w:p>
    <w:p w14:paraId="338550EC" w14:textId="77777777" w:rsidR="00255B24" w:rsidRDefault="00F94547">
      <w:pPr>
        <w:spacing w:line="360" w:lineRule="auto"/>
        <w:ind w:firstLineChars="200" w:firstLine="480"/>
        <w:rPr>
          <w:bCs/>
          <w:sz w:val="24"/>
        </w:rPr>
      </w:pP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1C7E39CA" w14:textId="77777777" w:rsidR="00255B24" w:rsidRDefault="00F94547">
      <w:pPr>
        <w:spacing w:line="360" w:lineRule="auto"/>
        <w:ind w:firstLineChars="200" w:firstLine="480"/>
        <w:rPr>
          <w:bCs/>
          <w:sz w:val="24"/>
        </w:rPr>
      </w:pPr>
      <w:r>
        <w:rPr>
          <w:rFonts w:hint="eastAsia"/>
          <w:bCs/>
          <w:sz w:val="24"/>
        </w:rPr>
        <w:t>（</w:t>
      </w:r>
      <w:r>
        <w:rPr>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Pr>
          <w:rFonts w:ascii="宋体" w:hAnsi="宋体" w:hint="eastAsia"/>
          <w:sz w:val="24"/>
        </w:rPr>
        <w:t>可将成本作为近似公允价值进行估值</w:t>
      </w:r>
      <w:r>
        <w:rPr>
          <w:rFonts w:hint="eastAsia"/>
          <w:bCs/>
          <w:sz w:val="24"/>
        </w:rPr>
        <w:t>。</w:t>
      </w:r>
    </w:p>
    <w:p w14:paraId="317BBBDF" w14:textId="77777777" w:rsidR="00255B24" w:rsidRDefault="00F94547">
      <w:pPr>
        <w:spacing w:line="360" w:lineRule="auto"/>
        <w:ind w:firstLineChars="200" w:firstLine="480"/>
        <w:rPr>
          <w:bCs/>
          <w:sz w:val="24"/>
        </w:rPr>
      </w:pPr>
      <w:r>
        <w:rPr>
          <w:rFonts w:hint="eastAsia"/>
          <w:bCs/>
          <w:sz w:val="24"/>
        </w:rPr>
        <w:t>（</w:t>
      </w:r>
      <w:r>
        <w:rPr>
          <w:bCs/>
          <w:sz w:val="24"/>
        </w:rPr>
        <w:t>4</w:t>
      </w:r>
      <w:r>
        <w:rPr>
          <w:rFonts w:hint="eastAsia"/>
          <w:bCs/>
          <w:sz w:val="24"/>
        </w:rPr>
        <w:t>）同一证券同时在两个或两个以上市场交易的，按证券所处的市场分别估值。</w:t>
      </w:r>
    </w:p>
    <w:p w14:paraId="72E32A68" w14:textId="10C81E6D" w:rsidR="00255B24" w:rsidRDefault="00F94547">
      <w:pPr>
        <w:spacing w:line="360" w:lineRule="auto"/>
        <w:ind w:firstLineChars="200" w:firstLine="480"/>
        <w:rPr>
          <w:bCs/>
          <w:sz w:val="24"/>
        </w:rPr>
      </w:pPr>
      <w:r>
        <w:rPr>
          <w:rFonts w:hint="eastAsia"/>
          <w:bCs/>
          <w:sz w:val="24"/>
        </w:rPr>
        <w:t>（</w:t>
      </w:r>
      <w:r>
        <w:rPr>
          <w:bCs/>
          <w:sz w:val="24"/>
        </w:rPr>
        <w:t>5</w:t>
      </w:r>
      <w:r>
        <w:rPr>
          <w:rFonts w:hint="eastAsia"/>
          <w:bCs/>
          <w:sz w:val="24"/>
        </w:rPr>
        <w:t>）股指期货合约、国债期货合约一般以估值日的结算价估值。估值当日无结算价的，且最近交易日后经济环境未发生重大变化的，采用最近交易日结算价估</w:t>
      </w:r>
      <w:r>
        <w:rPr>
          <w:rFonts w:hint="eastAsia"/>
          <w:bCs/>
          <w:sz w:val="24"/>
        </w:rPr>
        <w:lastRenderedPageBreak/>
        <w:t>值。如法律法规今后另有规定的，从其规定。</w:t>
      </w:r>
    </w:p>
    <w:p w14:paraId="727E16D0" w14:textId="77777777" w:rsidR="00255B24" w:rsidRDefault="00F94547">
      <w:pPr>
        <w:spacing w:line="360" w:lineRule="auto"/>
        <w:ind w:firstLineChars="200" w:firstLine="480"/>
        <w:rPr>
          <w:bCs/>
          <w:sz w:val="24"/>
        </w:rPr>
      </w:pPr>
      <w:r>
        <w:rPr>
          <w:rFonts w:hint="eastAsia"/>
          <w:bCs/>
          <w:sz w:val="24"/>
        </w:rPr>
        <w:t>本基金投资期权，根据相关法律法规以及监管部门的规定估值。</w:t>
      </w:r>
    </w:p>
    <w:p w14:paraId="6AC45954" w14:textId="77777777" w:rsidR="00255B24" w:rsidRDefault="00F94547">
      <w:pPr>
        <w:spacing w:line="360" w:lineRule="auto"/>
        <w:ind w:firstLineChars="200" w:firstLine="480"/>
        <w:rPr>
          <w:bCs/>
          <w:sz w:val="24"/>
        </w:rPr>
      </w:pPr>
      <w:r>
        <w:rPr>
          <w:rFonts w:hint="eastAsia"/>
          <w:bCs/>
          <w:sz w:val="24"/>
        </w:rPr>
        <w:t>（</w:t>
      </w:r>
      <w:r>
        <w:rPr>
          <w:bCs/>
          <w:sz w:val="24"/>
        </w:rPr>
        <w:t>6</w:t>
      </w:r>
      <w:r>
        <w:rPr>
          <w:rFonts w:hint="eastAsia"/>
          <w:bCs/>
          <w:sz w:val="24"/>
        </w:rPr>
        <w:t>）估值计算中涉及港币对人民币汇率，一般以估值日中国人民银行或其授权机构公布的人民币汇率中间价为准。</w:t>
      </w:r>
    </w:p>
    <w:p w14:paraId="09A3DF5C" w14:textId="77777777" w:rsidR="00255B24" w:rsidRDefault="00F94547">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F00E4BC" w14:textId="77777777" w:rsidR="00255B24" w:rsidRDefault="00F94547">
      <w:pPr>
        <w:spacing w:line="360" w:lineRule="auto"/>
        <w:ind w:firstLineChars="200" w:firstLine="480"/>
        <w:rPr>
          <w:bCs/>
          <w:sz w:val="24"/>
        </w:rPr>
      </w:pPr>
      <w:r>
        <w:rPr>
          <w:rFonts w:hint="eastAsia"/>
          <w:bCs/>
          <w:sz w:val="24"/>
        </w:rPr>
        <w:t>（</w:t>
      </w:r>
      <w:r>
        <w:rPr>
          <w:bCs/>
          <w:sz w:val="24"/>
        </w:rPr>
        <w:t>7</w:t>
      </w:r>
      <w:r>
        <w:rPr>
          <w:rFonts w:hint="eastAsia"/>
          <w:bCs/>
          <w:sz w:val="24"/>
        </w:rPr>
        <w:t>）本基金投资存托凭证的估值核算依照境内上市交易的股票执行。</w:t>
      </w:r>
    </w:p>
    <w:p w14:paraId="4053F808" w14:textId="77777777" w:rsidR="00255B24" w:rsidRDefault="00F94547">
      <w:pPr>
        <w:spacing w:line="360" w:lineRule="auto"/>
        <w:ind w:firstLineChars="200" w:firstLine="480"/>
        <w:rPr>
          <w:rFonts w:ascii="宋体" w:hAnsi="宋体"/>
          <w:bCs/>
          <w:sz w:val="24"/>
        </w:rPr>
      </w:pPr>
      <w:r>
        <w:rPr>
          <w:rFonts w:hint="eastAsia"/>
          <w:bCs/>
          <w:sz w:val="24"/>
        </w:rPr>
        <w:t>（</w:t>
      </w:r>
      <w:r>
        <w:rPr>
          <w:bCs/>
          <w:sz w:val="24"/>
        </w:rPr>
        <w:t>8</w:t>
      </w:r>
      <w:r>
        <w:rPr>
          <w:rFonts w:hint="eastAsia"/>
          <w:bCs/>
          <w:sz w:val="24"/>
        </w:rPr>
        <w:t>）</w:t>
      </w:r>
      <w:r>
        <w:rPr>
          <w:rFonts w:ascii="宋体" w:hAnsi="宋体" w:hint="eastAsia"/>
          <w:bCs/>
          <w:sz w:val="24"/>
        </w:rPr>
        <w:t>本基金参与融资等业务的，按照相关法律法规和监管部门的规定估值。</w:t>
      </w:r>
    </w:p>
    <w:p w14:paraId="705F2EC8" w14:textId="77777777" w:rsidR="00255B24" w:rsidRDefault="00F94547">
      <w:pPr>
        <w:spacing w:line="360" w:lineRule="auto"/>
        <w:ind w:firstLineChars="200" w:firstLine="480"/>
        <w:rPr>
          <w:bCs/>
          <w:sz w:val="24"/>
        </w:rPr>
      </w:pPr>
      <w:r>
        <w:rPr>
          <w:rFonts w:ascii="宋体" w:hAnsi="宋体" w:hint="eastAsia"/>
          <w:bCs/>
          <w:sz w:val="24"/>
        </w:rPr>
        <w:t>（9）本基金投资同业存单，采用估值日第三方估值机构提供的估值价格数据进行估值。</w:t>
      </w:r>
    </w:p>
    <w:p w14:paraId="0E92B3BB" w14:textId="77777777" w:rsidR="00255B24" w:rsidRDefault="00F94547">
      <w:pPr>
        <w:spacing w:line="360" w:lineRule="auto"/>
        <w:ind w:firstLineChars="200" w:firstLine="480"/>
        <w:rPr>
          <w:bCs/>
          <w:sz w:val="24"/>
        </w:rPr>
      </w:pPr>
      <w:r>
        <w:rPr>
          <w:rFonts w:hint="eastAsia"/>
          <w:bCs/>
          <w:sz w:val="24"/>
        </w:rPr>
        <w:t>（</w:t>
      </w:r>
      <w:r>
        <w:rPr>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14:paraId="2D05D730" w14:textId="77777777" w:rsidR="00255B24" w:rsidRDefault="00F94547">
      <w:pPr>
        <w:spacing w:line="360" w:lineRule="auto"/>
        <w:ind w:firstLineChars="200" w:firstLine="480"/>
        <w:rPr>
          <w:bCs/>
          <w:sz w:val="24"/>
        </w:rPr>
      </w:pPr>
      <w:r>
        <w:rPr>
          <w:rFonts w:hint="eastAsia"/>
          <w:bCs/>
          <w:sz w:val="24"/>
        </w:rPr>
        <w:t>（</w:t>
      </w:r>
      <w:r>
        <w:rPr>
          <w:bCs/>
          <w:sz w:val="24"/>
        </w:rPr>
        <w:t>11</w:t>
      </w:r>
      <w:r>
        <w:rPr>
          <w:rFonts w:hint="eastAsia"/>
          <w:bCs/>
          <w:sz w:val="24"/>
        </w:rPr>
        <w:t>）当发生大额申购或赎回情形时，基金管理人可以采用摆动定价机制，以确保基金估值的公平性。</w:t>
      </w:r>
    </w:p>
    <w:p w14:paraId="541D2680" w14:textId="77777777" w:rsidR="00255B24" w:rsidRDefault="00F94547">
      <w:pPr>
        <w:spacing w:line="360" w:lineRule="auto"/>
        <w:ind w:firstLineChars="200" w:firstLine="480"/>
        <w:rPr>
          <w:bCs/>
          <w:sz w:val="24"/>
        </w:rPr>
      </w:pPr>
      <w:r>
        <w:rPr>
          <w:rFonts w:hint="eastAsia"/>
          <w:bCs/>
          <w:sz w:val="24"/>
        </w:rPr>
        <w:t>（</w:t>
      </w:r>
      <w:r>
        <w:rPr>
          <w:bCs/>
          <w:sz w:val="24"/>
        </w:rPr>
        <w:t>12</w:t>
      </w:r>
      <w:r>
        <w:rPr>
          <w:rFonts w:hint="eastAsia"/>
          <w:bCs/>
          <w:sz w:val="24"/>
        </w:rPr>
        <w:t>）相关法律法规以及监管部门有强制规定的，从其规定。如有新增事项，按国家最新规定估值。</w:t>
      </w:r>
    </w:p>
    <w:p w14:paraId="7D5AE313" w14:textId="77777777" w:rsidR="00255B24" w:rsidRDefault="00F94547">
      <w:pPr>
        <w:spacing w:line="360" w:lineRule="auto"/>
        <w:ind w:firstLineChars="200" w:firstLine="480"/>
        <w:rPr>
          <w:rStyle w:val="read"/>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C6434B" w14:textId="77777777" w:rsidR="00255B24" w:rsidRDefault="00F94547">
      <w:pPr>
        <w:adjustRightInd w:val="0"/>
        <w:snapToGrid w:val="0"/>
        <w:spacing w:line="360" w:lineRule="auto"/>
        <w:ind w:firstLineChars="200" w:firstLine="480"/>
        <w:rPr>
          <w:rFonts w:ascii="宋体" w:hAnsi="宋体" w:cs="Arial"/>
          <w:sz w:val="24"/>
        </w:rPr>
      </w:pPr>
      <w:r>
        <w:rPr>
          <w:rFonts w:hint="eastAsia"/>
          <w:bCs/>
          <w:sz w:val="24"/>
        </w:rPr>
        <w:t>根据有关法律法规，基金资产净值计算和基金会计核算的义务由基金管理人承担。本基金的基金会计责任方由基金管理人担任，基金托管人承担复核责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08E95175" w14:textId="77777777" w:rsidR="00255B24" w:rsidRDefault="00F94547">
      <w:pPr>
        <w:adjustRightInd w:val="0"/>
        <w:snapToGrid w:val="0"/>
        <w:spacing w:line="360" w:lineRule="auto"/>
        <w:ind w:firstLine="480"/>
        <w:rPr>
          <w:rStyle w:val="read"/>
          <w:rFonts w:ascii="宋体" w:hAnsi="宋体" w:cs="Arial"/>
          <w:sz w:val="24"/>
        </w:rPr>
      </w:pPr>
      <w:r>
        <w:rPr>
          <w:rFonts w:ascii="宋体" w:hAnsi="宋体" w:cs="Arial" w:hint="eastAsia"/>
          <w:sz w:val="24"/>
        </w:rPr>
        <w:t>4</w:t>
      </w:r>
      <w:r>
        <w:rPr>
          <w:rStyle w:val="read"/>
          <w:rFonts w:ascii="宋体" w:hAnsi="宋体" w:cs="Arial" w:hint="eastAsia"/>
          <w:sz w:val="24"/>
        </w:rPr>
        <w:t>.特殊情形的处理</w:t>
      </w:r>
    </w:p>
    <w:p w14:paraId="79E6B5A4" w14:textId="77777777" w:rsidR="00255B24" w:rsidRDefault="00F94547">
      <w:pPr>
        <w:adjustRightInd w:val="0"/>
        <w:snapToGrid w:val="0"/>
        <w:spacing w:line="360" w:lineRule="auto"/>
        <w:ind w:firstLineChars="200" w:firstLine="480"/>
        <w:rPr>
          <w:rStyle w:val="read"/>
          <w:rFonts w:ascii="宋体" w:hAnsi="宋体"/>
          <w:sz w:val="24"/>
        </w:rPr>
      </w:pPr>
      <w:r>
        <w:rPr>
          <w:rStyle w:val="read"/>
          <w:rFonts w:ascii="宋体" w:hAnsi="宋体" w:cs="Arial" w:hint="eastAsia"/>
          <w:sz w:val="24"/>
        </w:rPr>
        <w:t>基金管理人、基金托管人按估值方法的第(</w:t>
      </w:r>
      <w:r>
        <w:rPr>
          <w:rStyle w:val="read"/>
          <w:rFonts w:ascii="宋体" w:hAnsi="宋体" w:cs="Arial"/>
          <w:sz w:val="24"/>
        </w:rPr>
        <w:t>10</w:t>
      </w:r>
      <w:r>
        <w:rPr>
          <w:rStyle w:val="read"/>
          <w:rFonts w:ascii="宋体" w:hAnsi="宋体" w:cs="Arial" w:hint="eastAsia"/>
          <w:sz w:val="24"/>
        </w:rPr>
        <w:t>)项进行估值时，所造成的误差不作为基金资产估值</w:t>
      </w:r>
      <w:r>
        <w:rPr>
          <w:rStyle w:val="read"/>
          <w:rFonts w:ascii="宋体" w:hAnsi="宋体" w:hint="eastAsia"/>
          <w:sz w:val="24"/>
        </w:rPr>
        <w:t>错误处理。</w:t>
      </w:r>
    </w:p>
    <w:p w14:paraId="22D34100" w14:textId="6843F391" w:rsidR="00255B24" w:rsidRDefault="00F94547">
      <w:pPr>
        <w:adjustRightInd w:val="0"/>
        <w:snapToGrid w:val="0"/>
        <w:spacing w:line="360" w:lineRule="auto"/>
        <w:ind w:firstLineChars="200" w:firstLine="480"/>
        <w:rPr>
          <w:rStyle w:val="read"/>
          <w:rFonts w:ascii="宋体" w:hAnsi="宋体"/>
          <w:sz w:val="24"/>
        </w:rPr>
      </w:pPr>
      <w:r>
        <w:rPr>
          <w:rFonts w:hint="eastAsia"/>
          <w:bCs/>
          <w:sz w:val="24"/>
        </w:rPr>
        <w:lastRenderedPageBreak/>
        <w:t>由于不可抗力原因，或证券、期货交易所、期货公司、登记结算公司及存款银行等第三方机构发送的数据错误等原因，基金管理人和基金托管人虽然已经采取必要、适当、合理的措施进行检查，但是未能发现该错误或</w:t>
      </w:r>
      <w:proofErr w:type="gramStart"/>
      <w:r>
        <w:rPr>
          <w:rFonts w:hint="eastAsia"/>
          <w:bCs/>
          <w:sz w:val="24"/>
        </w:rPr>
        <w:t>虽发现</w:t>
      </w:r>
      <w:proofErr w:type="gramEnd"/>
      <w:r>
        <w:rPr>
          <w:rFonts w:hint="eastAsia"/>
          <w:bCs/>
          <w:sz w:val="24"/>
        </w:rPr>
        <w:t>错误但因前述原因无法及时更正而造成的基金资产估值错误，基金管理人、基金托管人免除赔偿责任。但基金管理人、基金托管人应积极采取必要的措施消除或减轻由此造成的影响。</w:t>
      </w:r>
    </w:p>
    <w:p w14:paraId="23F772A5" w14:textId="77777777" w:rsidR="00255B24" w:rsidRDefault="00F94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（三）基金份额净值错误的处理方式</w:t>
      </w:r>
    </w:p>
    <w:p w14:paraId="12602A3C" w14:textId="715A1B3B" w:rsidR="00255B24" w:rsidRPr="007E0E31" w:rsidRDefault="00F94547" w:rsidP="007E0E31">
      <w:pPr>
        <w:spacing w:line="360" w:lineRule="auto"/>
        <w:ind w:firstLineChars="200" w:firstLine="480"/>
        <w:rPr>
          <w:rStyle w:val="read"/>
          <w:rFonts w:ascii="宋体" w:hAnsi="宋体"/>
          <w:sz w:val="24"/>
        </w:rPr>
      </w:pPr>
      <w:r w:rsidRPr="007E0E31">
        <w:rPr>
          <w:rStyle w:val="read"/>
          <w:rFonts w:ascii="宋体" w:hAnsi="宋体"/>
          <w:sz w:val="24"/>
        </w:rPr>
        <w:t>1.</w:t>
      </w:r>
      <w:r w:rsidRPr="007E0E31">
        <w:rPr>
          <w:rStyle w:val="read"/>
          <w:rFonts w:ascii="宋体" w:hAnsi="宋体" w:hint="eastAsia"/>
          <w:sz w:val="24"/>
        </w:rPr>
        <w:t>当</w:t>
      </w:r>
      <w:r>
        <w:rPr>
          <w:rStyle w:val="read"/>
          <w:rFonts w:ascii="宋体" w:hAnsi="宋体" w:hint="eastAsia"/>
          <w:sz w:val="24"/>
        </w:rPr>
        <w:t>任一类</w:t>
      </w:r>
      <w:r w:rsidRPr="007E0E31">
        <w:rPr>
          <w:rStyle w:val="read"/>
          <w:rFonts w:ascii="宋体" w:hAnsi="宋体" w:hint="eastAsia"/>
          <w:sz w:val="24"/>
        </w:rPr>
        <w:t>基金份额净值小数点后</w:t>
      </w:r>
      <w:r w:rsidRPr="007E0E31">
        <w:rPr>
          <w:rStyle w:val="read"/>
          <w:rFonts w:ascii="宋体" w:hAnsi="宋体"/>
          <w:sz w:val="24"/>
        </w:rPr>
        <w:t>4</w:t>
      </w:r>
      <w:r w:rsidRPr="007E0E31">
        <w:rPr>
          <w:rStyle w:val="read"/>
          <w:rFonts w:ascii="宋体" w:hAnsi="宋体" w:hint="eastAsia"/>
          <w:sz w:val="24"/>
        </w:rPr>
        <w:t>位以内</w:t>
      </w:r>
      <w:r w:rsidRPr="007E0E31">
        <w:rPr>
          <w:rStyle w:val="read"/>
          <w:rFonts w:ascii="宋体" w:hAnsi="宋体"/>
          <w:sz w:val="24"/>
        </w:rPr>
        <w:t>(</w:t>
      </w:r>
      <w:r w:rsidRPr="007E0E31">
        <w:rPr>
          <w:rStyle w:val="read"/>
          <w:rFonts w:ascii="宋体" w:hAnsi="宋体" w:hint="eastAsia"/>
          <w:sz w:val="24"/>
        </w:rPr>
        <w:t>含第</w:t>
      </w:r>
      <w:r w:rsidRPr="007E0E31">
        <w:rPr>
          <w:rStyle w:val="read"/>
          <w:rFonts w:ascii="宋体" w:hAnsi="宋体"/>
          <w:sz w:val="24"/>
        </w:rPr>
        <w:t>4</w:t>
      </w:r>
      <w:r w:rsidRPr="007E0E31">
        <w:rPr>
          <w:rStyle w:val="read"/>
          <w:rFonts w:ascii="宋体" w:hAnsi="宋体" w:hint="eastAsia"/>
          <w:sz w:val="24"/>
        </w:rPr>
        <w:t>位</w:t>
      </w:r>
      <w:r w:rsidRPr="007E0E31">
        <w:rPr>
          <w:rStyle w:val="read"/>
          <w:rFonts w:ascii="宋体" w:hAnsi="宋体"/>
          <w:sz w:val="24"/>
        </w:rPr>
        <w:t>)</w:t>
      </w:r>
      <w:r w:rsidRPr="007E0E31">
        <w:rPr>
          <w:rStyle w:val="read"/>
          <w:rFonts w:ascii="宋体" w:hAnsi="宋体" w:hint="eastAsia"/>
          <w:sz w:val="24"/>
        </w:rPr>
        <w:t>发生差错时，视为</w:t>
      </w:r>
      <w:r>
        <w:rPr>
          <w:rStyle w:val="read"/>
          <w:rFonts w:ascii="宋体" w:hAnsi="宋体" w:hint="eastAsia"/>
          <w:sz w:val="24"/>
        </w:rPr>
        <w:t>该类</w:t>
      </w:r>
      <w:r w:rsidRPr="007E0E31">
        <w:rPr>
          <w:rStyle w:val="read"/>
          <w:rFonts w:ascii="宋体" w:hAnsi="宋体" w:hint="eastAsia"/>
          <w:sz w:val="24"/>
        </w:rPr>
        <w:t>基金份额净值错误；基金份额净值出现错误时，基金管理人应当立即予以纠正，通报基金托管人，并采取合理的措施防止损失进一步扩大；错误偏差达到</w:t>
      </w:r>
      <w:r>
        <w:rPr>
          <w:rStyle w:val="read"/>
          <w:rFonts w:ascii="宋体" w:hAnsi="宋体" w:hint="eastAsia"/>
          <w:sz w:val="24"/>
        </w:rPr>
        <w:t>该类</w:t>
      </w:r>
      <w:r w:rsidRPr="007E0E31">
        <w:rPr>
          <w:rStyle w:val="read"/>
          <w:rFonts w:ascii="宋体" w:hAnsi="宋体" w:hint="eastAsia"/>
          <w:sz w:val="24"/>
        </w:rPr>
        <w:t>基金份额净值的</w:t>
      </w:r>
      <w:r w:rsidRPr="007E0E31">
        <w:rPr>
          <w:rStyle w:val="read"/>
          <w:rFonts w:ascii="宋体" w:hAnsi="宋体"/>
          <w:sz w:val="24"/>
        </w:rPr>
        <w:t>0.25%</w:t>
      </w:r>
      <w:r w:rsidRPr="007E0E31">
        <w:rPr>
          <w:rStyle w:val="read"/>
          <w:rFonts w:ascii="宋体" w:hAnsi="宋体" w:hint="eastAsia"/>
          <w:sz w:val="24"/>
        </w:rPr>
        <w:t>时，基金管理人应当通报基金托管人并报中国证监会备案</w:t>
      </w:r>
      <w:r w:rsidRPr="007E0E31">
        <w:rPr>
          <w:rFonts w:ascii="宋体" w:hAnsi="宋体" w:cs="Arial" w:hint="eastAsia"/>
          <w:sz w:val="24"/>
        </w:rPr>
        <w:t>；错误偏差达到</w:t>
      </w:r>
      <w:r>
        <w:rPr>
          <w:rFonts w:ascii="宋体" w:hAnsi="宋体" w:cs="Arial" w:hint="eastAsia"/>
          <w:sz w:val="24"/>
        </w:rPr>
        <w:t>该类</w:t>
      </w:r>
      <w:r w:rsidRPr="007E0E31">
        <w:rPr>
          <w:rFonts w:ascii="宋体" w:hAnsi="宋体" w:cs="Arial" w:hint="eastAsia"/>
          <w:sz w:val="24"/>
        </w:rPr>
        <w:t>基金份额净值的</w:t>
      </w:r>
      <w:r w:rsidRPr="007E0E31">
        <w:rPr>
          <w:rFonts w:ascii="宋体" w:hAnsi="宋体"/>
          <w:sz w:val="24"/>
        </w:rPr>
        <w:t>0.5%时，基金管理人应当公告</w:t>
      </w:r>
      <w:r w:rsidRPr="007E0E31">
        <w:rPr>
          <w:rStyle w:val="read"/>
          <w:rFonts w:ascii="宋体" w:hAnsi="宋体" w:hint="eastAsia"/>
          <w:sz w:val="24"/>
        </w:rPr>
        <w:t>；当发生净值计算错误时，由基金管理人负责处理，由此给基金份额持有人和基金造成损失的，</w:t>
      </w:r>
      <w:r>
        <w:rPr>
          <w:rStyle w:val="read"/>
          <w:rFonts w:ascii="宋体" w:hAnsi="宋体" w:hint="eastAsia"/>
          <w:sz w:val="24"/>
        </w:rPr>
        <w:t>应由基金管理人先行赔付，基金管理人按差错情形，有权向其他当事人追偿。</w:t>
      </w:r>
    </w:p>
    <w:p w14:paraId="036DB7B5" w14:textId="77777777" w:rsidR="00255B24" w:rsidRPr="007E0E31" w:rsidRDefault="00F94547" w:rsidP="007E0E31">
      <w:pPr>
        <w:adjustRightInd w:val="0"/>
        <w:snapToGrid w:val="0"/>
        <w:spacing w:line="360" w:lineRule="auto"/>
        <w:ind w:firstLineChars="200" w:firstLine="480"/>
        <w:rPr>
          <w:rStyle w:val="read"/>
          <w:rFonts w:ascii="宋体" w:hAnsi="宋体"/>
          <w:sz w:val="24"/>
        </w:rPr>
      </w:pPr>
      <w:r w:rsidRPr="007E0E31">
        <w:rPr>
          <w:rStyle w:val="read"/>
          <w:rFonts w:ascii="宋体" w:hAnsi="宋体"/>
          <w:sz w:val="24"/>
        </w:rPr>
        <w:t>2.</w:t>
      </w:r>
      <w:r w:rsidRPr="007E0E31">
        <w:rPr>
          <w:rStyle w:val="read"/>
          <w:rFonts w:ascii="宋体" w:hAnsi="宋体" w:hint="eastAsia"/>
          <w:sz w:val="24"/>
        </w:rPr>
        <w:t>当基金份额净值计算差错给基金和基金份额持有人造成损失需要进行赔偿时，基金管理人和基金托管人应根据实际情况界定双方承担的责任，经确认后按以下条款进行赔偿：</w:t>
      </w:r>
    </w:p>
    <w:p w14:paraId="232D532D" w14:textId="28D38B24" w:rsidR="00255B24" w:rsidRPr="007E0E31" w:rsidRDefault="00F94547" w:rsidP="007E0E31">
      <w:pPr>
        <w:spacing w:line="360" w:lineRule="auto"/>
        <w:ind w:firstLineChars="200" w:firstLine="480"/>
        <w:rPr>
          <w:rFonts w:ascii="宋体" w:hAnsi="宋体" w:cs="Arial"/>
          <w:sz w:val="24"/>
        </w:rPr>
      </w:pPr>
      <w:r w:rsidRPr="007E0E31">
        <w:rPr>
          <w:rStyle w:val="read"/>
          <w:rFonts w:ascii="宋体" w:hAnsi="宋体"/>
          <w:sz w:val="24"/>
        </w:rPr>
        <w:t>(1)</w:t>
      </w:r>
      <w:r w:rsidRPr="007E0E31">
        <w:rPr>
          <w:rStyle w:val="read"/>
          <w:rFonts w:ascii="宋体" w:hAnsi="宋体"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7E0E31">
        <w:rPr>
          <w:rFonts w:ascii="宋体" w:hAnsi="宋体" w:cs="Arial"/>
          <w:sz w:val="24"/>
        </w:rPr>
        <w:t>损失，由基金管理人</w:t>
      </w:r>
      <w:r>
        <w:rPr>
          <w:rFonts w:ascii="宋体" w:hAnsi="宋体" w:cs="Arial" w:hint="eastAsia"/>
          <w:sz w:val="24"/>
        </w:rPr>
        <w:t>负责赔付</w:t>
      </w:r>
      <w:r w:rsidRPr="007E0E31">
        <w:rPr>
          <w:rFonts w:ascii="宋体" w:hAnsi="宋体" w:cs="Arial" w:hint="eastAsia"/>
          <w:sz w:val="24"/>
        </w:rPr>
        <w:t>。</w:t>
      </w:r>
    </w:p>
    <w:p w14:paraId="037B8824" w14:textId="6E4368DF" w:rsidR="00255B24" w:rsidRPr="007E0E31" w:rsidRDefault="00F94547" w:rsidP="007E0E31">
      <w:pPr>
        <w:adjustRightInd w:val="0"/>
        <w:snapToGrid w:val="0"/>
        <w:spacing w:line="360" w:lineRule="auto"/>
        <w:ind w:firstLineChars="200" w:firstLine="480"/>
        <w:rPr>
          <w:rFonts w:ascii="宋体" w:hAnsi="宋体" w:cs="Arial"/>
          <w:sz w:val="24"/>
        </w:rPr>
      </w:pPr>
      <w:r w:rsidRPr="007E0E31">
        <w:rPr>
          <w:rFonts w:ascii="宋体" w:hAnsi="宋体" w:cs="Arial"/>
          <w:sz w:val="24"/>
        </w:rPr>
        <w:t>(2)</w:t>
      </w:r>
      <w:proofErr w:type="gramStart"/>
      <w:r w:rsidRPr="007E0E31">
        <w:rPr>
          <w:rFonts w:ascii="宋体" w:hAnsi="宋体" w:hint="eastAsia"/>
          <w:kern w:val="0"/>
          <w:sz w:val="24"/>
        </w:rPr>
        <w:t>若基金</w:t>
      </w:r>
      <w:proofErr w:type="gramEnd"/>
      <w:r w:rsidRPr="007E0E31">
        <w:rPr>
          <w:rFonts w:ascii="宋体" w:hAnsi="宋体" w:hint="eastAsia"/>
          <w:kern w:val="0"/>
          <w:sz w:val="24"/>
        </w:rPr>
        <w:t>管理人计算的</w:t>
      </w:r>
      <w:r>
        <w:rPr>
          <w:rFonts w:ascii="宋体" w:hAnsi="宋体" w:hint="eastAsia"/>
          <w:kern w:val="0"/>
          <w:sz w:val="24"/>
        </w:rPr>
        <w:t>各类</w:t>
      </w:r>
      <w:r w:rsidRPr="007E0E31">
        <w:rPr>
          <w:rFonts w:ascii="宋体" w:hAnsi="宋体" w:hint="eastAsia"/>
          <w:kern w:val="0"/>
          <w:sz w:val="24"/>
        </w:rPr>
        <w:t>基金份额净值已由基金托管人复核确认后公告，</w:t>
      </w:r>
      <w:r>
        <w:rPr>
          <w:rFonts w:ascii="宋体" w:hAnsi="宋体" w:hint="eastAsia"/>
          <w:kern w:val="0"/>
          <w:sz w:val="24"/>
        </w:rPr>
        <w:t>而且基金托管人未对计算过程提出疑义或要求基金管理人书面说明，该类基金份额净值出错且造成</w:t>
      </w:r>
      <w:r w:rsidRPr="007E0E31">
        <w:rPr>
          <w:rFonts w:ascii="宋体" w:hAnsi="宋体" w:hint="eastAsia"/>
          <w:kern w:val="0"/>
          <w:sz w:val="24"/>
        </w:rPr>
        <w:t>基金份额持有人损失的，应根据法律法规的规定对投资者或基金支付赔偿金，就实际向投资者或基金支付的赔偿金额，基金管理人与基金托管人按照</w:t>
      </w:r>
      <w:r>
        <w:rPr>
          <w:rFonts w:ascii="宋体" w:hAnsi="宋体" w:hint="eastAsia"/>
          <w:kern w:val="0"/>
          <w:sz w:val="24"/>
        </w:rPr>
        <w:t>管理费和托管费的比例</w:t>
      </w:r>
      <w:r w:rsidRPr="007E0E31">
        <w:rPr>
          <w:rFonts w:ascii="宋体" w:hAnsi="宋体" w:hint="eastAsia"/>
          <w:kern w:val="0"/>
          <w:sz w:val="24"/>
        </w:rPr>
        <w:t>各自承担相应的责任。</w:t>
      </w:r>
    </w:p>
    <w:p w14:paraId="2256622C" w14:textId="4C6363EB" w:rsidR="00255B24" w:rsidRPr="007E0E31" w:rsidRDefault="00F94547" w:rsidP="007E0E31">
      <w:pPr>
        <w:adjustRightInd w:val="0"/>
        <w:snapToGrid w:val="0"/>
        <w:spacing w:line="360" w:lineRule="auto"/>
        <w:ind w:firstLineChars="200" w:firstLine="480"/>
        <w:rPr>
          <w:rFonts w:ascii="宋体" w:hAnsi="宋体" w:cs="Arial"/>
          <w:sz w:val="24"/>
        </w:rPr>
      </w:pPr>
      <w:r w:rsidRPr="007E0E31">
        <w:rPr>
          <w:rFonts w:ascii="宋体" w:hAnsi="宋体" w:cs="Arial"/>
          <w:sz w:val="24"/>
        </w:rPr>
        <w:t>(3)如基金管理人和基金托管人对</w:t>
      </w:r>
      <w:r>
        <w:rPr>
          <w:rFonts w:ascii="宋体" w:hAnsi="宋体" w:cs="Arial" w:hint="eastAsia"/>
          <w:sz w:val="24"/>
        </w:rPr>
        <w:t>各类</w:t>
      </w:r>
      <w:r w:rsidRPr="007E0E31">
        <w:rPr>
          <w:rFonts w:ascii="宋体" w:hAnsi="宋体" w:cs="Arial"/>
          <w:sz w:val="24"/>
        </w:rPr>
        <w:t>基金份额净值的计算结果，虽然多次重新计算和核对，尚不能达成一致时，为避免不能按时公布</w:t>
      </w:r>
      <w:r>
        <w:rPr>
          <w:rFonts w:ascii="宋体" w:hAnsi="宋体" w:cs="Arial" w:hint="eastAsia"/>
          <w:sz w:val="24"/>
        </w:rPr>
        <w:t>各类</w:t>
      </w:r>
      <w:r w:rsidRPr="007E0E31">
        <w:rPr>
          <w:rFonts w:ascii="宋体" w:hAnsi="宋体" w:cs="Arial"/>
          <w:sz w:val="24"/>
        </w:rPr>
        <w:t>基金份额净值的情形，以基金管理人的计算结果对外公布，由此给基金份额持有人和基金造成的损失，由基金管理人</w:t>
      </w:r>
      <w:r>
        <w:rPr>
          <w:rFonts w:ascii="宋体" w:hAnsi="宋体" w:cs="Arial" w:hint="eastAsia"/>
          <w:sz w:val="24"/>
        </w:rPr>
        <w:t>负责赔付</w:t>
      </w:r>
      <w:r w:rsidRPr="007E0E31">
        <w:rPr>
          <w:rFonts w:ascii="宋体" w:hAnsi="宋体" w:cs="Arial"/>
          <w:sz w:val="24"/>
        </w:rPr>
        <w:t>。</w:t>
      </w:r>
    </w:p>
    <w:p w14:paraId="2C2446DD" w14:textId="1BFD0D15" w:rsidR="00255B24" w:rsidRPr="007E0E31" w:rsidRDefault="00F94547" w:rsidP="007E0E31">
      <w:pPr>
        <w:adjustRightInd w:val="0"/>
        <w:snapToGrid w:val="0"/>
        <w:spacing w:line="360" w:lineRule="auto"/>
        <w:ind w:firstLineChars="200" w:firstLine="480"/>
        <w:rPr>
          <w:rFonts w:ascii="宋体" w:hAnsi="宋体" w:cs="Arial"/>
          <w:sz w:val="24"/>
        </w:rPr>
      </w:pPr>
      <w:r w:rsidRPr="007E0E31">
        <w:rPr>
          <w:rFonts w:ascii="宋体" w:hAnsi="宋体" w:cs="Arial"/>
          <w:sz w:val="24"/>
        </w:rPr>
        <w:t>(4)</w:t>
      </w:r>
      <w:r w:rsidRPr="007E0E31">
        <w:rPr>
          <w:rFonts w:ascii="宋体" w:hAnsi="宋体" w:hint="eastAsia"/>
          <w:kern w:val="0"/>
          <w:sz w:val="24"/>
        </w:rPr>
        <w:t>由于基金管理人提供的信息错误（包括但不限于基金申购或赎回金额等），进而导致基金份额净值计算错误而引起的基金份额持有人和基金财产的损失，由</w:t>
      </w:r>
      <w:r w:rsidRPr="007E0E31">
        <w:rPr>
          <w:rFonts w:ascii="宋体" w:hAnsi="宋体" w:hint="eastAsia"/>
          <w:kern w:val="0"/>
          <w:sz w:val="24"/>
        </w:rPr>
        <w:lastRenderedPageBreak/>
        <w:t>基金管理人负责赔付。</w:t>
      </w:r>
    </w:p>
    <w:p w14:paraId="06BF5472" w14:textId="77777777" w:rsidR="00255B24" w:rsidRPr="007E0E31" w:rsidRDefault="00F94547" w:rsidP="007E0E31">
      <w:pPr>
        <w:adjustRightInd w:val="0"/>
        <w:snapToGrid w:val="0"/>
        <w:spacing w:line="360" w:lineRule="auto"/>
        <w:ind w:firstLineChars="200" w:firstLine="480"/>
        <w:rPr>
          <w:rFonts w:ascii="宋体" w:hAnsi="宋体" w:cs="Arial"/>
          <w:sz w:val="24"/>
        </w:rPr>
      </w:pPr>
      <w:r w:rsidRPr="007E0E31">
        <w:rPr>
          <w:rFonts w:ascii="宋体" w:hAnsi="宋体" w:cs="Arial"/>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51749D1" w14:textId="77777777" w:rsidR="00255B24" w:rsidRPr="007E0E31" w:rsidRDefault="00F94547" w:rsidP="007E0E31">
      <w:pPr>
        <w:adjustRightInd w:val="0"/>
        <w:snapToGrid w:val="0"/>
        <w:spacing w:line="360" w:lineRule="auto"/>
        <w:ind w:firstLineChars="200" w:firstLine="480"/>
        <w:rPr>
          <w:rFonts w:ascii="宋体" w:hAnsi="宋体" w:cs="Arial"/>
          <w:sz w:val="24"/>
        </w:rPr>
      </w:pPr>
      <w:r w:rsidRPr="007E0E31">
        <w:rPr>
          <w:rFonts w:ascii="宋体" w:hAnsi="宋体" w:cs="Arial"/>
          <w:sz w:val="24"/>
        </w:rPr>
        <w:t>4.基金管理人和基金托管人由于各自技术系统设置而产生的净值计算尾差，以基金管理人计算结果为准。</w:t>
      </w:r>
    </w:p>
    <w:p w14:paraId="1977BDCE" w14:textId="77777777" w:rsidR="00255B24" w:rsidRDefault="00F94547" w:rsidP="007E0E31">
      <w:pPr>
        <w:adjustRightInd w:val="0"/>
        <w:snapToGrid w:val="0"/>
        <w:spacing w:line="360" w:lineRule="auto"/>
        <w:ind w:firstLineChars="200" w:firstLine="480"/>
        <w:rPr>
          <w:rFonts w:ascii="彩虹粗仿宋" w:eastAsia="彩虹粗仿宋" w:hAnsi="宋体" w:cs="Arial"/>
          <w:sz w:val="24"/>
        </w:rPr>
      </w:pPr>
      <w:r w:rsidRPr="007E0E31">
        <w:rPr>
          <w:rFonts w:ascii="宋体" w:hAnsi="宋体" w:cs="Arial"/>
          <w:sz w:val="24"/>
        </w:rPr>
        <w:t>5.前述内容如法律法规或者监管部门另有规定的，从其规定。如果行业另有通行做法，双方当事人应本着平等和保护基金份额持有人利益的原则进行协商。</w:t>
      </w:r>
    </w:p>
    <w:p w14:paraId="3952E25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（四）暂停估值与公告基金份额净值的情形</w:t>
      </w:r>
    </w:p>
    <w:p w14:paraId="04D27CB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.基金投资所涉及的证券、期货交易市场遇法定节假日或因其他原因暂停营业或港股</w:t>
      </w:r>
      <w:proofErr w:type="gramStart"/>
      <w:r>
        <w:rPr>
          <w:rFonts w:ascii="宋体" w:hAnsi="宋体" w:cs="Arial" w:hint="eastAsia"/>
          <w:sz w:val="24"/>
        </w:rPr>
        <w:t>通临时</w:t>
      </w:r>
      <w:proofErr w:type="gramEnd"/>
      <w:r>
        <w:rPr>
          <w:rFonts w:ascii="宋体" w:hAnsi="宋体" w:cs="Arial" w:hint="eastAsia"/>
          <w:sz w:val="24"/>
        </w:rPr>
        <w:t>停市时；</w:t>
      </w:r>
    </w:p>
    <w:p w14:paraId="1A06967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.因不可抗力致使基金管理人、基金托管人无法准确评估基金资产价值时；</w:t>
      </w:r>
    </w:p>
    <w:p w14:paraId="09C789A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sz w:val="24"/>
        </w:rPr>
        <w:t>3</w:t>
      </w:r>
      <w:r>
        <w:rPr>
          <w:rFonts w:ascii="宋体" w:hAnsi="宋体" w:cs="Arial" w:hint="eastAsia"/>
          <w:sz w:val="24"/>
        </w:rPr>
        <w:t>.当特定资产占前一估值日基金资产净值</w:t>
      </w:r>
      <w:r>
        <w:rPr>
          <w:rFonts w:ascii="宋体" w:hAnsi="宋体" w:cs="Arial"/>
          <w:sz w:val="24"/>
        </w:rPr>
        <w:t>50%</w:t>
      </w:r>
      <w:r>
        <w:rPr>
          <w:rFonts w:ascii="宋体" w:hAnsi="宋体" w:cs="Arial" w:hint="eastAsia"/>
          <w:sz w:val="24"/>
        </w:rPr>
        <w:t>以上的，经与基金托管人协商确认后，基金管理人应当暂停估值；</w:t>
      </w:r>
    </w:p>
    <w:p w14:paraId="46F9BD5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sz w:val="24"/>
        </w:rPr>
        <w:t>4</w:t>
      </w:r>
      <w:r>
        <w:rPr>
          <w:rFonts w:ascii="宋体" w:hAnsi="宋体" w:cs="Arial" w:hint="eastAsia"/>
          <w:sz w:val="24"/>
        </w:rPr>
        <w:t>.法律法规、中国证监会和基金合同认定的其它情形。</w:t>
      </w:r>
    </w:p>
    <w:p w14:paraId="75E27AD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（五）基金会计制度</w:t>
      </w:r>
    </w:p>
    <w:p w14:paraId="0C90679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按国家有关部门规定的会计制度执行。</w:t>
      </w:r>
    </w:p>
    <w:p w14:paraId="1AE22C7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（六）基金账册的建立</w:t>
      </w:r>
    </w:p>
    <w:p w14:paraId="71D0EF0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基金管理人进行基金会计核算并编制基金财务会计报告。基金管理人独立地设置、记录和保管本基金的全套账册。</w:t>
      </w:r>
      <w:proofErr w:type="gramStart"/>
      <w:r>
        <w:rPr>
          <w:rFonts w:ascii="宋体" w:hAnsi="宋体" w:cs="Arial" w:hint="eastAsia"/>
          <w:sz w:val="24"/>
        </w:rPr>
        <w:t>若基金</w:t>
      </w:r>
      <w:proofErr w:type="gramEnd"/>
      <w:r>
        <w:rPr>
          <w:rFonts w:ascii="宋体"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776ECDE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（七）基金财务报表与报告的编制和复核</w:t>
      </w:r>
    </w:p>
    <w:p w14:paraId="70DE52E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1.财务报表的编制</w:t>
      </w:r>
    </w:p>
    <w:p w14:paraId="1C1FAAC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基金财务报表由基金管理人编制，基金托管人复核。</w:t>
      </w:r>
    </w:p>
    <w:p w14:paraId="05E88BE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2.报表复核</w:t>
      </w:r>
    </w:p>
    <w:p w14:paraId="454C32C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1744BA9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3.财务报表的编制与复核时间安排</w:t>
      </w:r>
    </w:p>
    <w:p w14:paraId="42B5D79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（1）报表的编制</w:t>
      </w:r>
    </w:p>
    <w:p w14:paraId="551D8FC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6A22AFA5" w14:textId="77777777" w:rsidR="00255B24" w:rsidRDefault="00F94547">
      <w:pPr>
        <w:pStyle w:val="a0"/>
        <w:adjustRightInd w:val="0"/>
        <w:snapToGrid w:val="0"/>
        <w:spacing w:line="360" w:lineRule="auto"/>
        <w:ind w:firstLine="480"/>
        <w:rPr>
          <w:rFonts w:ascii="宋体" w:hAnsi="宋体" w:cs="Arial"/>
          <w:sz w:val="24"/>
        </w:rPr>
      </w:pPr>
      <w:r>
        <w:rPr>
          <w:rFonts w:ascii="宋体" w:hAnsi="宋体" w:cs="Arial" w:hint="eastAsia"/>
          <w:sz w:val="24"/>
        </w:rPr>
        <w:t>（2）报表的复核</w:t>
      </w:r>
    </w:p>
    <w:p w14:paraId="4FB936AA" w14:textId="77777777" w:rsidR="00255B24" w:rsidRDefault="00F94547">
      <w:pPr>
        <w:pStyle w:val="a0"/>
        <w:adjustRightInd w:val="0"/>
        <w:snapToGrid w:val="0"/>
        <w:spacing w:line="360" w:lineRule="auto"/>
        <w:ind w:firstLine="480"/>
        <w:rPr>
          <w:rFonts w:ascii="宋体" w:hAnsi="宋体" w:cs="Arial"/>
          <w:sz w:val="24"/>
        </w:rPr>
      </w:pPr>
      <w:r>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F72FCEA" w14:textId="77777777" w:rsidR="00255B24" w:rsidRDefault="00F94547">
      <w:pPr>
        <w:pStyle w:val="a0"/>
        <w:adjustRightInd w:val="0"/>
        <w:snapToGrid w:val="0"/>
        <w:spacing w:line="360" w:lineRule="auto"/>
        <w:ind w:firstLine="480"/>
        <w:rPr>
          <w:rFonts w:ascii="宋体" w:hAnsi="宋体" w:cs="Arial"/>
          <w:sz w:val="24"/>
        </w:rPr>
      </w:pPr>
      <w:r>
        <w:rPr>
          <w:rFonts w:ascii="宋体" w:hAnsi="宋体" w:cs="Arial" w:hint="eastAsia"/>
          <w:sz w:val="24"/>
        </w:rPr>
        <w:t>基金管理人应留足充分的时间，便于基金托管人复核相关报表及报告。</w:t>
      </w:r>
    </w:p>
    <w:p w14:paraId="495D58BA" w14:textId="77777777" w:rsidR="00255B24" w:rsidRDefault="00F94547">
      <w:pPr>
        <w:pStyle w:val="a0"/>
        <w:adjustRightInd w:val="0"/>
        <w:snapToGrid w:val="0"/>
        <w:spacing w:line="360" w:lineRule="auto"/>
        <w:ind w:firstLine="480"/>
        <w:rPr>
          <w:rFonts w:ascii="宋体" w:hAnsi="宋体" w:cs="Arial"/>
          <w:sz w:val="24"/>
        </w:rPr>
      </w:pPr>
      <w:r>
        <w:rPr>
          <w:rFonts w:ascii="宋体" w:hAnsi="宋体" w:cs="Arial" w:hint="eastAsia"/>
          <w:sz w:val="24"/>
        </w:rPr>
        <w:t>（八）基金管理人应在编制季度报告、中期报告或者年度报告之前及时向基金托管人提供基金业绩比较基准的基础数据和编制结果。</w:t>
      </w:r>
    </w:p>
    <w:p w14:paraId="1D21A87F" w14:textId="77777777" w:rsidR="00255B24" w:rsidRDefault="00F94547">
      <w:pPr>
        <w:spacing w:line="360" w:lineRule="auto"/>
        <w:ind w:firstLineChars="200" w:firstLine="480"/>
        <w:rPr>
          <w:bCs/>
          <w:sz w:val="24"/>
          <w:szCs w:val="20"/>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2F49CA35" w14:textId="77777777" w:rsidR="00255B24" w:rsidRDefault="00F94547">
      <w:pPr>
        <w:pStyle w:val="a0"/>
        <w:adjustRightInd w:val="0"/>
        <w:snapToGrid w:val="0"/>
        <w:spacing w:line="360" w:lineRule="auto"/>
        <w:ind w:firstLine="480"/>
        <w:rPr>
          <w:rFonts w:ascii="宋体" w:hAnsi="宋体" w:cs="Arial"/>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3CDF2454" w14:textId="77777777" w:rsidR="00255B24" w:rsidRDefault="00F94547">
      <w:pPr>
        <w:widowControl/>
        <w:jc w:val="left"/>
        <w:rPr>
          <w:rFonts w:ascii="宋体" w:hAnsi="宋体" w:cs="Arial"/>
          <w:sz w:val="24"/>
        </w:rPr>
      </w:pPr>
      <w:r>
        <w:rPr>
          <w:rFonts w:ascii="宋体" w:hAnsi="宋体" w:cs="Arial"/>
          <w:sz w:val="24"/>
        </w:rPr>
        <w:br w:type="page"/>
      </w:r>
    </w:p>
    <w:p w14:paraId="57817285" w14:textId="77777777" w:rsidR="00255B24" w:rsidRDefault="00F94547">
      <w:pPr>
        <w:pStyle w:val="2"/>
        <w:spacing w:before="0" w:after="0" w:line="360" w:lineRule="auto"/>
        <w:jc w:val="center"/>
        <w:rPr>
          <w:rFonts w:ascii="宋体" w:eastAsia="宋体" w:hAnsi="宋体"/>
          <w:sz w:val="30"/>
        </w:rPr>
      </w:pPr>
      <w:bookmarkStart w:id="89" w:name="_Toc114149847"/>
      <w:r>
        <w:rPr>
          <w:rFonts w:ascii="宋体" w:eastAsia="宋体" w:hAnsi="宋体" w:hint="eastAsia"/>
          <w:sz w:val="30"/>
        </w:rPr>
        <w:lastRenderedPageBreak/>
        <w:t>九、基金收益分配</w:t>
      </w:r>
      <w:bookmarkEnd w:id="89"/>
    </w:p>
    <w:p w14:paraId="1C13478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基金收益分配是指按规定将基金的可分配收益按基金份额进行比例分配。</w:t>
      </w:r>
    </w:p>
    <w:p w14:paraId="2AAB355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（一）基金收益分配的原则</w:t>
      </w:r>
    </w:p>
    <w:p w14:paraId="052A591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1.若《基金合同》生效不满3个月可不进行收益分配；</w:t>
      </w:r>
    </w:p>
    <w:p w14:paraId="44A9C02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2.由于A类基金份额不收取而C类基金份额收取销售服务费，可能导致A类基金份额和C类基金份额之间在可供分配利润上有所不同；</w:t>
      </w:r>
    </w:p>
    <w:p w14:paraId="3F3E1D8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3.本基金收益分配方式分两种：现金分红与红利再投资，投资者可选择现金红利或将现金红利自动转为相应类别的基金份额进行再投资；若投资者不选择，本基金默认的收益分配方式是现金分红；</w:t>
      </w:r>
    </w:p>
    <w:p w14:paraId="4CFF405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4.基金收益分配后任一类基金份额净值均不能低于面值；即基金收益分配基准日的任一类基金份额净值减去每单位该类基金份额收益分配金额后不能低于面值；</w:t>
      </w:r>
    </w:p>
    <w:p w14:paraId="77555A2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5.同一类别内每一基金份额享有同等分配权；</w:t>
      </w:r>
    </w:p>
    <w:p w14:paraId="207125C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6.法律法规或监管机关另有规定的，从其规定。</w:t>
      </w:r>
    </w:p>
    <w:p w14:paraId="2FC2E40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在不违反法律法规</w:t>
      </w:r>
      <w:r>
        <w:rPr>
          <w:rFonts w:hint="eastAsia"/>
          <w:bCs/>
          <w:sz w:val="24"/>
        </w:rPr>
        <w:t>和监管机构的规定</w:t>
      </w:r>
      <w:r>
        <w:rPr>
          <w:rFonts w:ascii="宋体" w:hAnsi="宋体" w:cs="Arial" w:hint="eastAsia"/>
          <w:sz w:val="24"/>
        </w:rPr>
        <w:t>及基金合同约定，并对基金份额持有人利益无实质不利影响的前提下，基金管理人与基金托管人协商一致后可对基金收益分配原则和支付方式进行调整，不需召开基金份额持有人大会。</w:t>
      </w:r>
    </w:p>
    <w:p w14:paraId="7D9EA2C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本基金每次收益分配比例详见届时基金管理人发布的公告。</w:t>
      </w:r>
    </w:p>
    <w:p w14:paraId="49D6B64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（二）基金收益分配的时间和程序</w:t>
      </w:r>
    </w:p>
    <w:p w14:paraId="4D1BBED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本基金收益分配方案由基金管理人拟定，并由基金托管人复核，依照《公开募集证券投资基金信息披露管理办法》的有关规定在规定媒介公告。</w:t>
      </w:r>
    </w:p>
    <w:p w14:paraId="3C756AB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基金收益分配方案公告后，基金管理人就支付的现金红利向基金托管人发送划款指令，基金托管人按照基金管理人的指令及时进行分红资金的划付。</w:t>
      </w:r>
    </w:p>
    <w:p w14:paraId="7F8CC1A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基金管理人</w:t>
      </w:r>
      <w:r>
        <w:rPr>
          <w:bCs/>
          <w:sz w:val="24"/>
        </w:rPr>
        <w:t>开放式证券投资基金登记方面的业务规则</w:t>
      </w:r>
      <w:r>
        <w:rPr>
          <w:rFonts w:ascii="宋体" w:hAnsi="宋体" w:cs="Arial" w:hint="eastAsia"/>
          <w:sz w:val="24"/>
        </w:rPr>
        <w:t>执行。</w:t>
      </w:r>
    </w:p>
    <w:p w14:paraId="55EF151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（三）实施</w:t>
      </w:r>
      <w:proofErr w:type="gramStart"/>
      <w:r>
        <w:rPr>
          <w:rFonts w:ascii="宋体" w:hAnsi="宋体" w:cs="Arial" w:hint="eastAsia"/>
          <w:sz w:val="24"/>
        </w:rPr>
        <w:t>侧袋机制</w:t>
      </w:r>
      <w:proofErr w:type="gramEnd"/>
      <w:r>
        <w:rPr>
          <w:rFonts w:ascii="宋体" w:hAnsi="宋体" w:cs="Arial" w:hint="eastAsia"/>
          <w:sz w:val="24"/>
        </w:rPr>
        <w:t>期间的收益分配</w:t>
      </w:r>
    </w:p>
    <w:p w14:paraId="69C87771" w14:textId="612B28AF" w:rsidR="00255B24" w:rsidRDefault="00F94547" w:rsidP="007E0E31">
      <w:pPr>
        <w:adjustRightInd w:val="0"/>
        <w:snapToGrid w:val="0"/>
        <w:spacing w:line="360" w:lineRule="auto"/>
        <w:ind w:firstLineChars="200"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w:t>
      </w:r>
      <w:proofErr w:type="gramStart"/>
      <w:r>
        <w:rPr>
          <w:rFonts w:ascii="宋体" w:hAnsi="宋体" w:cs="Arial" w:hint="eastAsia"/>
          <w:sz w:val="24"/>
        </w:rPr>
        <w:t>侧袋账户</w:t>
      </w:r>
      <w:proofErr w:type="gramEnd"/>
      <w:r>
        <w:rPr>
          <w:rFonts w:ascii="宋体" w:hAnsi="宋体" w:cs="Arial" w:hint="eastAsia"/>
          <w:sz w:val="24"/>
        </w:rPr>
        <w:t>不进行收益分配，详见招募说明书的规定。</w:t>
      </w:r>
      <w:r>
        <w:rPr>
          <w:rFonts w:ascii="宋体" w:hAnsi="宋体" w:cs="Arial"/>
          <w:sz w:val="24"/>
        </w:rPr>
        <w:br w:type="page"/>
      </w:r>
    </w:p>
    <w:p w14:paraId="4A9B09F5" w14:textId="77777777" w:rsidR="00255B24" w:rsidRDefault="00F94547">
      <w:pPr>
        <w:pStyle w:val="2"/>
        <w:spacing w:before="0" w:after="0" w:line="360" w:lineRule="auto"/>
        <w:jc w:val="center"/>
        <w:rPr>
          <w:rFonts w:ascii="宋体" w:eastAsia="宋体" w:hAnsi="宋体"/>
          <w:sz w:val="30"/>
        </w:rPr>
      </w:pPr>
      <w:bookmarkStart w:id="90" w:name="_Toc114149848"/>
      <w:r>
        <w:rPr>
          <w:rFonts w:ascii="宋体" w:eastAsia="宋体" w:hAnsi="宋体" w:hint="eastAsia"/>
          <w:sz w:val="30"/>
        </w:rPr>
        <w:lastRenderedPageBreak/>
        <w:t>十、基金信息披露</w:t>
      </w:r>
      <w:bookmarkEnd w:id="90"/>
    </w:p>
    <w:p w14:paraId="38D9E90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（一）保密义务</w:t>
      </w:r>
    </w:p>
    <w:p w14:paraId="1ACD700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和基金管理人应按法律法规、《基金合同》的有关规定进行信息披露，拟公开披露的信息在公开披露之前应予保密。除按《基金法》、《基金合同》、《公开募集证券投资基金信息披露管理办法》、《公开募集开放式证券投资基金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564FCF7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1.非因基金管理人和基金托管人的原因导致保密信息被披露、泄露或公开；</w:t>
      </w:r>
    </w:p>
    <w:p w14:paraId="4ED75CB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2.基金管理人和基金托管人为遵守和服从法院判决或裁定、仲裁裁决或中国证监会等监管机构的命令、决定所做出的信息披露或公开。</w:t>
      </w:r>
    </w:p>
    <w:p w14:paraId="370D2A8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（二）信息披露的内容</w:t>
      </w:r>
    </w:p>
    <w:p w14:paraId="0F24760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的信息披露内容主要包括基金招募说明书、《基金合同》、基金托管协议、基金产品资料概要、基金份额发售公告、《基金合同》生效公告、基金净值信息、基金份额申购、赎回价格、基金定期报告（包括基金年度报告、基金中期报告和基金季度报告）、发起资金认购份额报告、临时报告、澄清公告、基金份额持有人大会决议、实施</w:t>
      </w:r>
      <w:proofErr w:type="gramStart"/>
      <w:r>
        <w:rPr>
          <w:rFonts w:ascii="宋体" w:hAnsi="宋体" w:cs="Arial" w:hint="eastAsia"/>
          <w:sz w:val="24"/>
        </w:rPr>
        <w:t>侧袋机制</w:t>
      </w:r>
      <w:proofErr w:type="gramEnd"/>
      <w:r>
        <w:rPr>
          <w:rFonts w:ascii="宋体" w:hAnsi="宋体" w:cs="Arial" w:hint="eastAsia"/>
          <w:sz w:val="24"/>
        </w:rPr>
        <w:t>期间的信息披露、清算报告、基金投资股指期货的信息披露、基金投资国债期货的信息披露、基金投资股票期权的信息披露、基金投资资产支持证券的信息披露、基金投资港股通标的股票相关公告、基金参与融资业务的信息披露、中国证监会规定的其他信息。基金年度报告中的财务会计报告需</w:t>
      </w:r>
      <w:proofErr w:type="gramStart"/>
      <w:r>
        <w:rPr>
          <w:rFonts w:ascii="宋体" w:hAnsi="宋体" w:cs="Arial" w:hint="eastAsia"/>
          <w:sz w:val="24"/>
        </w:rPr>
        <w:t>经符合</w:t>
      </w:r>
      <w:proofErr w:type="gramEnd"/>
      <w:r>
        <w:rPr>
          <w:rFonts w:ascii="宋体" w:hAnsi="宋体" w:cs="Arial" w:hint="eastAsia"/>
          <w:sz w:val="24"/>
        </w:rPr>
        <w:t>《证券法》规定的会计师事务所审计后，方可披露。</w:t>
      </w:r>
    </w:p>
    <w:p w14:paraId="04D091E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（三）基金托管人和基金管理人在信息披露中的职责和信息披露程序</w:t>
      </w:r>
    </w:p>
    <w:p w14:paraId="50794C7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1.职责</w:t>
      </w:r>
    </w:p>
    <w:p w14:paraId="58764D8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D8878D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对于不需要基金托管人复核的信息，基金管理人在公告前应告知基金托管人。</w:t>
      </w:r>
    </w:p>
    <w:p w14:paraId="07910A0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基金管理人和基金托管人应积极配合、互相监督，保证其履行按照法定方式和</w:t>
      </w:r>
      <w:r>
        <w:rPr>
          <w:rFonts w:ascii="宋体" w:hAnsi="宋体" w:cs="Arial" w:hint="eastAsia"/>
          <w:sz w:val="24"/>
        </w:rPr>
        <w:lastRenderedPageBreak/>
        <w:t>限时披露的义务。</w:t>
      </w:r>
    </w:p>
    <w:p w14:paraId="623994C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560DEDB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当出现下述情况时，基金管理人和基金托管人可暂停或延迟披露基金相关信息：</w:t>
      </w:r>
    </w:p>
    <w:p w14:paraId="6F654145" w14:textId="77777777" w:rsidR="00255B24" w:rsidRDefault="00F94547">
      <w:pPr>
        <w:spacing w:line="360" w:lineRule="auto"/>
        <w:ind w:firstLineChars="200" w:firstLine="480"/>
        <w:rPr>
          <w:bCs/>
          <w:sz w:val="24"/>
          <w:szCs w:val="20"/>
        </w:rPr>
      </w:pPr>
      <w:r>
        <w:rPr>
          <w:rFonts w:hint="eastAsia"/>
          <w:bCs/>
          <w:sz w:val="24"/>
        </w:rPr>
        <w:t>（</w:t>
      </w:r>
      <w:r>
        <w:rPr>
          <w:bCs/>
          <w:sz w:val="24"/>
        </w:rPr>
        <w:t>1</w:t>
      </w:r>
      <w:r>
        <w:rPr>
          <w:rFonts w:hint="eastAsia"/>
          <w:bCs/>
          <w:sz w:val="24"/>
        </w:rPr>
        <w:t>）不可抗力；</w:t>
      </w:r>
    </w:p>
    <w:p w14:paraId="1A85F253" w14:textId="77777777" w:rsidR="00255B24" w:rsidRDefault="00F94547">
      <w:pPr>
        <w:spacing w:line="360" w:lineRule="auto"/>
        <w:ind w:firstLineChars="200" w:firstLine="480"/>
        <w:rPr>
          <w:bCs/>
          <w:sz w:val="24"/>
        </w:rPr>
      </w:pPr>
      <w:r>
        <w:rPr>
          <w:rFonts w:hint="eastAsia"/>
          <w:bCs/>
          <w:sz w:val="24"/>
        </w:rPr>
        <w:t>（</w:t>
      </w:r>
      <w:r>
        <w:rPr>
          <w:bCs/>
          <w:sz w:val="24"/>
        </w:rPr>
        <w:t>2</w:t>
      </w:r>
      <w:r>
        <w:rPr>
          <w:rFonts w:hint="eastAsia"/>
          <w:bCs/>
          <w:sz w:val="24"/>
        </w:rPr>
        <w:t>）出现基金合同约定的暂停估值的情形；</w:t>
      </w:r>
    </w:p>
    <w:p w14:paraId="1FAE102E" w14:textId="77777777" w:rsidR="00255B24" w:rsidRDefault="00F94547">
      <w:pPr>
        <w:spacing w:line="360" w:lineRule="auto"/>
        <w:ind w:firstLineChars="200" w:firstLine="480"/>
        <w:rPr>
          <w:bCs/>
          <w:sz w:val="24"/>
        </w:rPr>
      </w:pPr>
      <w:r>
        <w:rPr>
          <w:rFonts w:hint="eastAsia"/>
          <w:bCs/>
          <w:sz w:val="24"/>
        </w:rPr>
        <w:t>（</w:t>
      </w:r>
      <w:r>
        <w:rPr>
          <w:bCs/>
          <w:sz w:val="24"/>
        </w:rPr>
        <w:t>3</w:t>
      </w:r>
      <w:r>
        <w:rPr>
          <w:rFonts w:hint="eastAsia"/>
          <w:bCs/>
          <w:sz w:val="24"/>
        </w:rPr>
        <w:t>）法律法规、基金合同或中国证监会规定的情况。</w:t>
      </w:r>
    </w:p>
    <w:p w14:paraId="73AF66C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2.程序</w:t>
      </w:r>
    </w:p>
    <w:p w14:paraId="2B062D9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70EEEB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3.信息文本的存放</w:t>
      </w:r>
    </w:p>
    <w:p w14:paraId="02E8B08F" w14:textId="77777777" w:rsidR="00255B24" w:rsidRDefault="00F94547">
      <w:pPr>
        <w:pStyle w:val="a0"/>
        <w:spacing w:line="360" w:lineRule="auto"/>
        <w:ind w:firstLine="480"/>
        <w:rPr>
          <w:bCs/>
          <w:sz w:val="24"/>
        </w:rPr>
      </w:pPr>
      <w:r>
        <w:rPr>
          <w:rFonts w:hint="eastAsia"/>
          <w:bCs/>
          <w:sz w:val="24"/>
        </w:rPr>
        <w:t>依法必须披露的信息发布后，基金管理人、基金托管人应当按照相关法律法规规定将信息置备于各自住所，供社会公众查阅、复制。</w:t>
      </w:r>
    </w:p>
    <w:p w14:paraId="33CA1BC4" w14:textId="77777777" w:rsidR="00255B24" w:rsidRDefault="00F94547">
      <w:pPr>
        <w:pStyle w:val="a0"/>
        <w:spacing w:line="360" w:lineRule="auto"/>
        <w:ind w:firstLine="480"/>
        <w:rPr>
          <w:rFonts w:ascii="宋体" w:hAnsi="宋体" w:cs="Arial"/>
          <w:sz w:val="24"/>
        </w:rPr>
      </w:pPr>
      <w:r>
        <w:rPr>
          <w:rFonts w:ascii="宋体" w:hAnsi="宋体" w:cs="Arial" w:hint="eastAsia"/>
          <w:sz w:val="24"/>
        </w:rPr>
        <w:t>（四）实施</w:t>
      </w:r>
      <w:proofErr w:type="gramStart"/>
      <w:r>
        <w:rPr>
          <w:rFonts w:ascii="宋体" w:hAnsi="宋体" w:cs="Arial" w:hint="eastAsia"/>
          <w:sz w:val="24"/>
        </w:rPr>
        <w:t>侧袋机制</w:t>
      </w:r>
      <w:proofErr w:type="gramEnd"/>
      <w:r>
        <w:rPr>
          <w:rFonts w:ascii="宋体" w:hAnsi="宋体" w:cs="Arial" w:hint="eastAsia"/>
          <w:sz w:val="24"/>
        </w:rPr>
        <w:t>期间的信息披露</w:t>
      </w:r>
    </w:p>
    <w:p w14:paraId="6B98026C" w14:textId="77777777" w:rsidR="00255B24" w:rsidRDefault="00F94547">
      <w:pPr>
        <w:pStyle w:val="a0"/>
        <w:spacing w:line="360" w:lineRule="auto"/>
        <w:ind w:firstLine="480"/>
        <w:rPr>
          <w:rFonts w:ascii="宋体" w:hAnsi="宋体" w:cs="Arial"/>
          <w:sz w:val="24"/>
        </w:rPr>
      </w:pPr>
      <w:r>
        <w:rPr>
          <w:rFonts w:ascii="宋体" w:hAnsi="宋体" w:cs="Arial" w:hint="eastAsia"/>
          <w:sz w:val="24"/>
        </w:rPr>
        <w:t>本基金实施</w:t>
      </w:r>
      <w:proofErr w:type="gramStart"/>
      <w:r>
        <w:rPr>
          <w:rFonts w:ascii="宋体" w:hAnsi="宋体" w:cs="Arial" w:hint="eastAsia"/>
          <w:sz w:val="24"/>
        </w:rPr>
        <w:t>侧袋机制</w:t>
      </w:r>
      <w:proofErr w:type="gramEnd"/>
      <w:r>
        <w:rPr>
          <w:rFonts w:ascii="宋体" w:hAnsi="宋体" w:cs="Arial" w:hint="eastAsia"/>
          <w:sz w:val="24"/>
        </w:rPr>
        <w:t>的，相关信息披露义务人应当根据法律法规、基金合同和招募说明书的规定进行信息披露，详见招募说明书的规定。</w:t>
      </w:r>
    </w:p>
    <w:p w14:paraId="229A38C9" w14:textId="77777777" w:rsidR="00255B24" w:rsidRDefault="00F94547">
      <w:pPr>
        <w:widowControl/>
        <w:jc w:val="left"/>
        <w:rPr>
          <w:rFonts w:ascii="宋体" w:hAnsi="宋体" w:cs="Arial"/>
          <w:sz w:val="24"/>
        </w:rPr>
      </w:pPr>
      <w:r>
        <w:rPr>
          <w:rFonts w:ascii="宋体" w:hAnsi="宋体" w:cs="Arial"/>
          <w:sz w:val="24"/>
        </w:rPr>
        <w:br w:type="page"/>
      </w:r>
    </w:p>
    <w:p w14:paraId="11813630" w14:textId="77777777" w:rsidR="00255B24" w:rsidRDefault="00F94547">
      <w:pPr>
        <w:pStyle w:val="2"/>
        <w:spacing w:before="0" w:after="0" w:line="360" w:lineRule="auto"/>
        <w:jc w:val="center"/>
        <w:rPr>
          <w:rFonts w:ascii="宋体" w:eastAsia="宋体" w:hAnsi="宋体"/>
          <w:sz w:val="30"/>
        </w:rPr>
      </w:pPr>
      <w:bookmarkStart w:id="91" w:name="_Toc114149849"/>
      <w:r>
        <w:rPr>
          <w:rFonts w:ascii="宋体" w:eastAsia="宋体" w:hAnsi="宋体" w:hint="eastAsia"/>
          <w:sz w:val="30"/>
        </w:rPr>
        <w:lastRenderedPageBreak/>
        <w:t>十一、基金费用</w:t>
      </w:r>
      <w:bookmarkEnd w:id="91"/>
    </w:p>
    <w:p w14:paraId="250887A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（一）基金管理费的计提比例和计提方法</w:t>
      </w:r>
    </w:p>
    <w:p w14:paraId="5348348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本基金的管理费按前一日基金资产净值的</w:t>
      </w:r>
      <w:bookmarkStart w:id="92" w:name="_Hlk114231395"/>
      <w:r>
        <w:rPr>
          <w:rFonts w:ascii="宋体" w:hAnsi="宋体" w:cs="Arial" w:hint="eastAsia"/>
          <w:sz w:val="24"/>
        </w:rPr>
        <w:t>1.5</w:t>
      </w:r>
      <w:r>
        <w:rPr>
          <w:rFonts w:ascii="宋体" w:hAnsi="宋体" w:cs="Arial"/>
          <w:sz w:val="24"/>
        </w:rPr>
        <w:t>0</w:t>
      </w:r>
      <w:r>
        <w:rPr>
          <w:rFonts w:ascii="宋体" w:hAnsi="宋体" w:cs="Arial" w:hint="eastAsia"/>
          <w:sz w:val="24"/>
        </w:rPr>
        <w:t>%</w:t>
      </w:r>
      <w:bookmarkEnd w:id="92"/>
      <w:r>
        <w:rPr>
          <w:rFonts w:ascii="宋体" w:hAnsi="宋体" w:cs="Arial" w:hint="eastAsia"/>
          <w:sz w:val="24"/>
        </w:rPr>
        <w:t>年费率计提。管理费的计算方法如下：</w:t>
      </w:r>
    </w:p>
    <w:p w14:paraId="141427B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H＝E×</w:t>
      </w:r>
      <w:r>
        <w:rPr>
          <w:rFonts w:ascii="宋体" w:hAnsi="宋体" w:cs="Arial"/>
          <w:sz w:val="24"/>
        </w:rPr>
        <w:t>1.50%</w:t>
      </w:r>
      <w:r>
        <w:rPr>
          <w:rFonts w:ascii="宋体" w:hAnsi="宋体" w:cs="Arial" w:hint="eastAsia"/>
          <w:sz w:val="24"/>
        </w:rPr>
        <w:t>÷当年天数</w:t>
      </w:r>
    </w:p>
    <w:p w14:paraId="644456F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H为每日应计提的基金管理费</w:t>
      </w:r>
    </w:p>
    <w:p w14:paraId="2CC855F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E为前一日的基金资产净值</w:t>
      </w:r>
    </w:p>
    <w:p w14:paraId="1C9776B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（二）基金托管费的计提比例和计提方法</w:t>
      </w:r>
    </w:p>
    <w:p w14:paraId="79B33AD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本基金的托管费按前一日基金资产净值的0.2</w:t>
      </w:r>
      <w:r>
        <w:rPr>
          <w:rFonts w:ascii="宋体" w:hAnsi="宋体" w:cs="Arial"/>
          <w:sz w:val="24"/>
        </w:rPr>
        <w:t>0</w:t>
      </w:r>
      <w:r>
        <w:rPr>
          <w:rFonts w:ascii="宋体" w:hAnsi="宋体" w:cs="Arial" w:hint="eastAsia"/>
          <w:sz w:val="24"/>
        </w:rPr>
        <w:t>%年费率计提。托管费的计算方法如下：</w:t>
      </w:r>
    </w:p>
    <w:p w14:paraId="6BE4AEC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H＝E×</w:t>
      </w:r>
      <w:r>
        <w:rPr>
          <w:rFonts w:ascii="宋体" w:hAnsi="宋体" w:cs="Arial"/>
          <w:sz w:val="24"/>
        </w:rPr>
        <w:t>0.20%</w:t>
      </w:r>
      <w:r>
        <w:rPr>
          <w:rFonts w:ascii="宋体" w:hAnsi="宋体" w:cs="Arial" w:hint="eastAsia"/>
          <w:sz w:val="24"/>
        </w:rPr>
        <w:t>÷当年天数</w:t>
      </w:r>
    </w:p>
    <w:p w14:paraId="3F1116E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H为每日应计提的基金托管费</w:t>
      </w:r>
    </w:p>
    <w:p w14:paraId="0DA962D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E为前一日的基金资产净值</w:t>
      </w:r>
    </w:p>
    <w:p w14:paraId="36414BF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（三）C类基金份额的销售服务费</w:t>
      </w:r>
    </w:p>
    <w:p w14:paraId="020BFA4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本基金A类基金份额不收取销售服务费，C类基金份额的销售服务费按前一日C类基金份额基金资产净值的</w:t>
      </w:r>
      <w:r>
        <w:rPr>
          <w:rFonts w:ascii="宋体" w:hAnsi="宋体" w:cs="Arial"/>
          <w:sz w:val="24"/>
        </w:rPr>
        <w:t>0.40%</w:t>
      </w:r>
      <w:r>
        <w:rPr>
          <w:rFonts w:ascii="宋体" w:hAnsi="宋体" w:cs="Arial" w:hint="eastAsia"/>
          <w:sz w:val="24"/>
        </w:rPr>
        <w:t>年费率计提。计算方法如下：</w:t>
      </w:r>
    </w:p>
    <w:p w14:paraId="208C59F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H＝E×</w:t>
      </w:r>
      <w:r>
        <w:rPr>
          <w:rFonts w:ascii="宋体" w:hAnsi="宋体" w:cs="Arial"/>
          <w:sz w:val="24"/>
        </w:rPr>
        <w:t>0.40%</w:t>
      </w:r>
      <w:r>
        <w:rPr>
          <w:rFonts w:ascii="宋体" w:hAnsi="宋体" w:cs="Arial" w:hint="eastAsia"/>
          <w:sz w:val="24"/>
        </w:rPr>
        <w:t>÷当年天数</w:t>
      </w:r>
    </w:p>
    <w:p w14:paraId="4363539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H为C类基金份额每日应计提的销售服务费</w:t>
      </w:r>
    </w:p>
    <w:p w14:paraId="548A749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E为C类基金份额前一日基金资产净值</w:t>
      </w:r>
    </w:p>
    <w:p w14:paraId="5EA7893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四）《基金合同》生效后与基金相关的信息披露费用、《基金合同》生效后与基金相关的会计师费、律师费、诉讼费和仲裁费、基金份额持有人大会费用、基金的证券/期货/期权交易费用、基金的银行汇划费用、基金的账户开户费用、账户维护费用、因投资港股通标的股票而产生的各项费用、因参与融资业务而产生的各项合理费用以及按照国家有关规定和《基金合同》约定，可以在基金财产中列支的其他费用等根据有关法律法规、《基金合同》及相应协议的规定，列入当期基金费用。</w:t>
      </w:r>
    </w:p>
    <w:p w14:paraId="5C46E97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（五）不列入基金费用的项目</w:t>
      </w:r>
    </w:p>
    <w:p w14:paraId="2776DA03" w14:textId="77777777" w:rsidR="00255B24" w:rsidRDefault="00F94547">
      <w:pPr>
        <w:adjustRightInd w:val="0"/>
        <w:snapToGrid w:val="0"/>
        <w:spacing w:line="360" w:lineRule="auto"/>
        <w:ind w:firstLineChars="200" w:firstLine="480"/>
        <w:rPr>
          <w:bCs/>
          <w:sz w:val="24"/>
        </w:rPr>
      </w:pPr>
      <w:r>
        <w:rPr>
          <w:rFonts w:ascii="宋体" w:hAnsi="宋体" w:cs="Arial" w:hint="eastAsia"/>
          <w:sz w:val="24"/>
        </w:rPr>
        <w:t>基金管理人和基金托管人因未</w:t>
      </w:r>
      <w:r>
        <w:rPr>
          <w:rFonts w:hint="eastAsia"/>
          <w:bCs/>
          <w:sz w:val="24"/>
        </w:rPr>
        <w:t>履行或未完全履行义务导致的费用支出或基金财产的损失、基金管理人和基金托管人处理与基金运作无关的事项发生的费用、《基金合同》生效前的相关费用以及其他根据相关法律法规及中国证监会的有关</w:t>
      </w:r>
      <w:r>
        <w:rPr>
          <w:rFonts w:hint="eastAsia"/>
          <w:bCs/>
          <w:sz w:val="24"/>
        </w:rPr>
        <w:lastRenderedPageBreak/>
        <w:t>规定不得列入基金费用的项目</w:t>
      </w:r>
      <w:bookmarkStart w:id="93" w:name="_Hlt88827255"/>
      <w:bookmarkEnd w:id="93"/>
      <w:r>
        <w:rPr>
          <w:rFonts w:ascii="宋体" w:hAnsi="宋体" w:cs="Arial" w:hint="eastAsia"/>
          <w:sz w:val="24"/>
        </w:rPr>
        <w:t>等不列入基金费用。</w:t>
      </w:r>
    </w:p>
    <w:p w14:paraId="15967AE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（六）基金管理费、基金托管费和C类基金份额销售服务费的复核程序、支付方式和时间</w:t>
      </w:r>
    </w:p>
    <w:p w14:paraId="48F5091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1.复核程序</w:t>
      </w:r>
    </w:p>
    <w:p w14:paraId="7B6B95A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基金托管人对基金管理人计提的基金管理费、基金托管费和C类基金份额的销售服务费等，根据本托管协议和《基金合同》的有关规定进行复核。</w:t>
      </w:r>
    </w:p>
    <w:p w14:paraId="6958BB4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2.支付方式和时间</w:t>
      </w:r>
    </w:p>
    <w:p w14:paraId="0C16433B" w14:textId="75AD6E42"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基金管理费、基金托管费、C类基金份额的销售服务费</w:t>
      </w:r>
      <w:r>
        <w:rPr>
          <w:rFonts w:hint="eastAsia"/>
          <w:bCs/>
          <w:sz w:val="24"/>
        </w:rPr>
        <w:t>每日计提，逐日累计至每月月末，按月支付，由托管人根据与管理人核对一致的财务数据，自动在次月</w:t>
      </w:r>
      <w:r>
        <w:rPr>
          <w:bCs/>
          <w:sz w:val="24"/>
        </w:rPr>
        <w:t>首日起</w:t>
      </w:r>
      <w:r>
        <w:rPr>
          <w:rFonts w:hint="eastAsia"/>
          <w:bCs/>
          <w:sz w:val="24"/>
        </w:rPr>
        <w:t>5</w:t>
      </w:r>
      <w:r>
        <w:rPr>
          <w:rFonts w:hint="eastAsia"/>
          <w:bCs/>
          <w:sz w:val="24"/>
        </w:rPr>
        <w:t>个工作日内、按照指定的账户路径进行资金支付，管理人无需再出具资金划拨指令。若遇法定节假日、休息日或不可抗力等，支付日期顺延。</w:t>
      </w:r>
      <w:r>
        <w:rPr>
          <w:rFonts w:ascii="宋体" w:hAnsi="宋体" w:cs="Arial" w:hint="eastAsia"/>
          <w:sz w:val="24"/>
        </w:rPr>
        <w:t>费用自动扣划后，基金管理人应进行核对，如发现数据不符，及时联系基金托管人协商解决。</w:t>
      </w:r>
    </w:p>
    <w:p w14:paraId="56BE2F7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在首期支付基金管理费、C类基金份额的销售服务费前，基金管理人应向基金托管人出具正式函件指定基金管理费、C类基金份额的销售服务费的收款账户。基金管理人如需要</w:t>
      </w:r>
      <w:proofErr w:type="gramStart"/>
      <w:r>
        <w:rPr>
          <w:rFonts w:ascii="宋体" w:hAnsi="宋体" w:cs="Arial" w:hint="eastAsia"/>
          <w:sz w:val="24"/>
        </w:rPr>
        <w:t>变更此</w:t>
      </w:r>
      <w:proofErr w:type="gramEnd"/>
      <w:r>
        <w:rPr>
          <w:rFonts w:ascii="宋体" w:hAnsi="宋体" w:cs="Arial" w:hint="eastAsia"/>
          <w:sz w:val="24"/>
        </w:rPr>
        <w:t>账户，应提前5个工作日向基金托管人出具书面的收款账户变更通知。</w:t>
      </w:r>
    </w:p>
    <w:p w14:paraId="59309DC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（七）违规处理方式</w:t>
      </w:r>
    </w:p>
    <w:p w14:paraId="3921030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基金托管人发现基金管理人违反《基金法》、《基金合同》、《</w:t>
      </w:r>
      <w:r>
        <w:rPr>
          <w:rFonts w:hint="eastAsia"/>
          <w:bCs/>
          <w:sz w:val="24"/>
        </w:rPr>
        <w:t>公开</w:t>
      </w:r>
      <w:r>
        <w:rPr>
          <w:bCs/>
          <w:sz w:val="24"/>
        </w:rPr>
        <w:t>募集证券投资基金运作管理办法</w:t>
      </w:r>
      <w:r>
        <w:rPr>
          <w:rFonts w:ascii="宋体" w:hAnsi="宋体" w:cs="Arial" w:hint="eastAsia"/>
          <w:sz w:val="24"/>
        </w:rPr>
        <w:t>》及其他有关规定从基金财产中列支费用时，基金托管人可要求基金管理人予以说明解释，如基金管理人无正当理由，基金托管人可拒绝支付。</w:t>
      </w:r>
    </w:p>
    <w:p w14:paraId="427DFE6E" w14:textId="77777777" w:rsidR="00255B24" w:rsidRDefault="00F94547">
      <w:pPr>
        <w:adjustRightInd w:val="0"/>
        <w:snapToGrid w:val="0"/>
        <w:spacing w:line="360" w:lineRule="auto"/>
        <w:ind w:firstLineChars="200" w:firstLine="480"/>
        <w:rPr>
          <w:rFonts w:ascii="宋体" w:hAnsi="宋体"/>
          <w:bCs/>
          <w:sz w:val="24"/>
        </w:rPr>
      </w:pPr>
      <w:r>
        <w:rPr>
          <w:rFonts w:ascii="宋体" w:hAnsi="宋体" w:hint="eastAsia"/>
          <w:bCs/>
          <w:sz w:val="24"/>
        </w:rPr>
        <w:t>（八）实施</w:t>
      </w:r>
      <w:proofErr w:type="gramStart"/>
      <w:r>
        <w:rPr>
          <w:rFonts w:ascii="宋体" w:hAnsi="宋体" w:hint="eastAsia"/>
          <w:bCs/>
          <w:sz w:val="24"/>
        </w:rPr>
        <w:t>侧袋机制</w:t>
      </w:r>
      <w:proofErr w:type="gramEnd"/>
      <w:r>
        <w:rPr>
          <w:rFonts w:ascii="宋体" w:hAnsi="宋体" w:hint="eastAsia"/>
          <w:bCs/>
          <w:sz w:val="24"/>
        </w:rPr>
        <w:t>期间的基金费用</w:t>
      </w:r>
    </w:p>
    <w:p w14:paraId="7696A876" w14:textId="77777777" w:rsidR="00255B24" w:rsidRDefault="00F94547">
      <w:pPr>
        <w:adjustRightInd w:val="0"/>
        <w:snapToGrid w:val="0"/>
        <w:spacing w:line="360" w:lineRule="auto"/>
        <w:ind w:firstLineChars="200" w:firstLine="48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w:t>
      </w:r>
      <w:proofErr w:type="gramStart"/>
      <w:r>
        <w:rPr>
          <w:rFonts w:ascii="宋体" w:hAnsi="宋体" w:hint="eastAsia"/>
          <w:bCs/>
          <w:sz w:val="24"/>
        </w:rPr>
        <w:t>与侧袋账户</w:t>
      </w:r>
      <w:proofErr w:type="gramEnd"/>
      <w:r>
        <w:rPr>
          <w:rFonts w:ascii="宋体" w:hAnsi="宋体" w:hint="eastAsia"/>
          <w:bCs/>
          <w:sz w:val="24"/>
        </w:rPr>
        <w:t>有关的费用可以</w:t>
      </w:r>
      <w:proofErr w:type="gramStart"/>
      <w:r>
        <w:rPr>
          <w:rFonts w:ascii="宋体" w:hAnsi="宋体" w:hint="eastAsia"/>
          <w:bCs/>
          <w:sz w:val="24"/>
        </w:rPr>
        <w:t>从侧袋账户</w:t>
      </w:r>
      <w:proofErr w:type="gramEnd"/>
      <w:r>
        <w:rPr>
          <w:rFonts w:ascii="宋体" w:hAnsi="宋体" w:hint="eastAsia"/>
          <w:bCs/>
          <w:sz w:val="24"/>
        </w:rPr>
        <w:t>中列支，但应</w:t>
      </w:r>
      <w:proofErr w:type="gramStart"/>
      <w:r>
        <w:rPr>
          <w:rFonts w:ascii="宋体" w:hAnsi="宋体" w:hint="eastAsia"/>
          <w:bCs/>
          <w:sz w:val="24"/>
        </w:rPr>
        <w:t>待侧袋</w:t>
      </w:r>
      <w:proofErr w:type="gramEnd"/>
      <w:r>
        <w:rPr>
          <w:rFonts w:ascii="宋体" w:hAnsi="宋体" w:hint="eastAsia"/>
          <w:bCs/>
          <w:sz w:val="24"/>
        </w:rPr>
        <w:t>账户资产变现后方可列支，但不得收取基金管理费，详见招募说明书规定或相关公告。</w:t>
      </w:r>
    </w:p>
    <w:p w14:paraId="0CC9A34B" w14:textId="77777777" w:rsidR="00255B24" w:rsidRDefault="00F94547">
      <w:pPr>
        <w:widowControl/>
        <w:jc w:val="left"/>
        <w:rPr>
          <w:rFonts w:ascii="宋体" w:hAnsi="宋体" w:cs="Arial"/>
          <w:sz w:val="24"/>
        </w:rPr>
      </w:pPr>
      <w:r>
        <w:rPr>
          <w:rFonts w:ascii="宋体" w:hAnsi="宋体" w:cs="Arial"/>
          <w:sz w:val="24"/>
        </w:rPr>
        <w:br w:type="page"/>
      </w:r>
    </w:p>
    <w:p w14:paraId="2E8A216E" w14:textId="77777777" w:rsidR="00255B24" w:rsidRDefault="00F94547">
      <w:pPr>
        <w:pStyle w:val="2"/>
        <w:spacing w:before="0" w:after="0" w:line="360" w:lineRule="auto"/>
        <w:jc w:val="center"/>
        <w:rPr>
          <w:rFonts w:ascii="宋体" w:eastAsia="宋体" w:hAnsi="宋体"/>
          <w:sz w:val="30"/>
        </w:rPr>
      </w:pPr>
      <w:bookmarkStart w:id="94" w:name="_Toc114149850"/>
      <w:r>
        <w:rPr>
          <w:rFonts w:ascii="宋体" w:eastAsia="宋体" w:hAnsi="宋体" w:hint="eastAsia"/>
          <w:sz w:val="30"/>
        </w:rPr>
        <w:lastRenderedPageBreak/>
        <w:t>十二、基金份额持有人名册的保管</w:t>
      </w:r>
      <w:bookmarkEnd w:id="94"/>
    </w:p>
    <w:p w14:paraId="043140B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律法规的规定，法律法规或监管部门另有规定的除外。如不能妥善保管，则按相关法规承担责任。</w:t>
      </w:r>
    </w:p>
    <w:p w14:paraId="708D934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在基金托管人要求或编制中期报告和年度报告前，基金管理人应将有关资料送交基金托管人，不得无故拒绝或延误提供，并保证其真实性、准确性和完整性。</w:t>
      </w:r>
      <w:r>
        <w:rPr>
          <w:rFonts w:ascii="宋体" w:hAnsi="宋体" w:hint="eastAsia"/>
          <w:kern w:val="0"/>
          <w:sz w:val="24"/>
        </w:rPr>
        <w:t>基金托管人不得将所保管的基金份额持有人名册用于基金托管业务以外的其他用途，并应遵守保密义务。</w:t>
      </w:r>
    </w:p>
    <w:p w14:paraId="0259392F" w14:textId="77777777" w:rsidR="00255B24" w:rsidRDefault="00F94547">
      <w:pPr>
        <w:widowControl/>
        <w:jc w:val="left"/>
        <w:rPr>
          <w:rFonts w:ascii="宋体" w:hAnsi="宋体" w:cs="Arial"/>
          <w:sz w:val="24"/>
        </w:rPr>
      </w:pPr>
      <w:r>
        <w:rPr>
          <w:rFonts w:ascii="宋体" w:hAnsi="宋体" w:cs="Arial"/>
          <w:sz w:val="24"/>
        </w:rPr>
        <w:br w:type="page"/>
      </w:r>
    </w:p>
    <w:p w14:paraId="33F380BD" w14:textId="77777777" w:rsidR="00255B24" w:rsidRDefault="00F94547">
      <w:pPr>
        <w:pStyle w:val="2"/>
        <w:spacing w:before="0" w:after="0" w:line="360" w:lineRule="auto"/>
        <w:jc w:val="center"/>
        <w:rPr>
          <w:rFonts w:ascii="宋体" w:eastAsia="宋体" w:hAnsi="宋体"/>
          <w:sz w:val="30"/>
        </w:rPr>
      </w:pPr>
      <w:bookmarkStart w:id="95" w:name="_Toc114149851"/>
      <w:r>
        <w:rPr>
          <w:rFonts w:ascii="宋体" w:eastAsia="宋体" w:hAnsi="宋体" w:hint="eastAsia"/>
          <w:sz w:val="30"/>
        </w:rPr>
        <w:lastRenderedPageBreak/>
        <w:t>十三、基金有关文件档案的保存</w:t>
      </w:r>
      <w:bookmarkEnd w:id="95"/>
    </w:p>
    <w:p w14:paraId="1F9EA32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（一）档案保存</w:t>
      </w:r>
    </w:p>
    <w:p w14:paraId="23E5435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定最低期限，法律法规或监管部门另有规定的除外。</w:t>
      </w:r>
    </w:p>
    <w:p w14:paraId="2D55415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（二）合同档案的建立</w:t>
      </w:r>
    </w:p>
    <w:p w14:paraId="3AB86D3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1.基金管理人签署重大合同文本后，</w:t>
      </w:r>
      <w:proofErr w:type="gramStart"/>
      <w:r>
        <w:rPr>
          <w:rFonts w:ascii="宋体" w:hAnsi="宋体" w:cs="Arial" w:hint="eastAsia"/>
          <w:sz w:val="24"/>
        </w:rPr>
        <w:t>若合同</w:t>
      </w:r>
      <w:proofErr w:type="gramEnd"/>
      <w:r>
        <w:rPr>
          <w:rFonts w:ascii="宋体" w:hAnsi="宋体" w:cs="Arial" w:hint="eastAsia"/>
          <w:sz w:val="24"/>
        </w:rPr>
        <w:t>文本正本有两份应及时将其中一份合同文本正本送达基金托管人处。</w:t>
      </w:r>
    </w:p>
    <w:p w14:paraId="5041A85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2.基金管理人应及时将与本基金账务处理、资金划拨等有关的合同、协议传真基金托管人。</w:t>
      </w:r>
    </w:p>
    <w:p w14:paraId="01E3427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（三）变更与协助</w:t>
      </w:r>
    </w:p>
    <w:p w14:paraId="067A49B8" w14:textId="77777777" w:rsidR="00255B24" w:rsidRDefault="00F94547">
      <w:pPr>
        <w:adjustRightInd w:val="0"/>
        <w:snapToGrid w:val="0"/>
        <w:spacing w:line="360" w:lineRule="auto"/>
        <w:ind w:firstLineChars="200" w:firstLine="480"/>
        <w:rPr>
          <w:rFonts w:ascii="宋体" w:hAnsi="宋体" w:cs="Arial"/>
          <w:sz w:val="24"/>
        </w:rPr>
      </w:pPr>
      <w:proofErr w:type="gramStart"/>
      <w:r>
        <w:rPr>
          <w:rFonts w:ascii="宋体" w:hAnsi="宋体" w:cs="Arial" w:hint="eastAsia"/>
          <w:sz w:val="24"/>
        </w:rPr>
        <w:t>若基金</w:t>
      </w:r>
      <w:proofErr w:type="gramEnd"/>
      <w:r>
        <w:rPr>
          <w:rFonts w:ascii="宋体" w:hAnsi="宋体" w:cs="Arial" w:hint="eastAsia"/>
          <w:sz w:val="24"/>
        </w:rPr>
        <w:t>管理人/基金托管人发生变更，未变更的一方有义务协助变更后的接任人接收相应文件。</w:t>
      </w:r>
    </w:p>
    <w:p w14:paraId="1C6AD3F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（四）基金管理人和基金托管人应按各自职责完整保存原始凭证、记账凭证、基金账册、交易记录和重要合同等，</w:t>
      </w:r>
      <w:r>
        <w:rPr>
          <w:rFonts w:ascii="宋体" w:hAnsi="宋体" w:cs="Arial"/>
          <w:sz w:val="24"/>
        </w:rPr>
        <w:t>保存期限不低于法定最低期限</w:t>
      </w:r>
      <w:r>
        <w:rPr>
          <w:rFonts w:ascii="宋体" w:hAnsi="宋体" w:cs="Arial" w:hint="eastAsia"/>
          <w:sz w:val="24"/>
        </w:rPr>
        <w:t>，法律法规或监管部门另有规定的除外。</w:t>
      </w:r>
    </w:p>
    <w:p w14:paraId="49518295" w14:textId="77777777" w:rsidR="00255B24" w:rsidRDefault="00F94547">
      <w:pPr>
        <w:widowControl/>
        <w:jc w:val="left"/>
        <w:rPr>
          <w:rFonts w:ascii="宋体" w:hAnsi="宋体"/>
          <w:sz w:val="30"/>
          <w:szCs w:val="30"/>
        </w:rPr>
      </w:pPr>
      <w:r>
        <w:rPr>
          <w:rFonts w:ascii="宋体" w:hAnsi="宋体"/>
          <w:sz w:val="30"/>
          <w:szCs w:val="30"/>
        </w:rPr>
        <w:br w:type="page"/>
      </w:r>
    </w:p>
    <w:p w14:paraId="570B6801" w14:textId="77777777" w:rsidR="00255B24" w:rsidRDefault="00F94547">
      <w:pPr>
        <w:pStyle w:val="2"/>
        <w:spacing w:before="0" w:after="0" w:line="360" w:lineRule="auto"/>
        <w:jc w:val="center"/>
        <w:rPr>
          <w:rFonts w:ascii="宋体" w:eastAsia="宋体" w:hAnsi="宋体"/>
          <w:sz w:val="30"/>
        </w:rPr>
      </w:pPr>
      <w:bookmarkStart w:id="96" w:name="_Toc114149852"/>
      <w:r>
        <w:rPr>
          <w:rFonts w:ascii="宋体" w:eastAsia="宋体" w:hAnsi="宋体" w:hint="eastAsia"/>
          <w:sz w:val="30"/>
        </w:rPr>
        <w:lastRenderedPageBreak/>
        <w:t>十四、基金管理人和基金托管人的更换</w:t>
      </w:r>
      <w:bookmarkEnd w:id="96"/>
    </w:p>
    <w:p w14:paraId="6BA1D6A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（一）基金管理人职责终止的情形</w:t>
      </w:r>
    </w:p>
    <w:p w14:paraId="3AB50B9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1.基金管理人职责终止的情形</w:t>
      </w:r>
    </w:p>
    <w:p w14:paraId="4E8AF6A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有下列情形之一的，基金管理人职责终止：</w:t>
      </w:r>
    </w:p>
    <w:p w14:paraId="44261B9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）被依法取消基金管理资格；</w:t>
      </w:r>
    </w:p>
    <w:p w14:paraId="04FE754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）被基金份额持有人大会解任；</w:t>
      </w:r>
    </w:p>
    <w:p w14:paraId="30E53E4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）依法解散、被依法撤销或被依法宣告破产；</w:t>
      </w:r>
    </w:p>
    <w:p w14:paraId="65938A8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）法律法规及中国证监会规定的和《基金合同》约定的其他情形。</w:t>
      </w:r>
    </w:p>
    <w:p w14:paraId="683546B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2.基金管理人的更换程序</w:t>
      </w:r>
    </w:p>
    <w:p w14:paraId="5EE78C4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）提名：</w:t>
      </w:r>
      <w:proofErr w:type="gramStart"/>
      <w:r>
        <w:rPr>
          <w:rFonts w:ascii="宋体" w:hAnsi="宋体" w:cs="Arial" w:hint="eastAsia"/>
          <w:sz w:val="24"/>
        </w:rPr>
        <w:t>新任基金</w:t>
      </w:r>
      <w:proofErr w:type="gramEnd"/>
      <w:r>
        <w:rPr>
          <w:rFonts w:ascii="宋体" w:hAnsi="宋体" w:cs="Arial" w:hint="eastAsia"/>
          <w:sz w:val="24"/>
        </w:rPr>
        <w:t>管理人由基金托管人或由单独或合计持有</w:t>
      </w:r>
      <w:r>
        <w:rPr>
          <w:rFonts w:ascii="宋体" w:hAnsi="宋体" w:cs="Arial"/>
          <w:sz w:val="24"/>
        </w:rPr>
        <w:t>10%</w:t>
      </w:r>
      <w:r>
        <w:rPr>
          <w:rFonts w:ascii="宋体" w:hAnsi="宋体" w:cs="Arial" w:hint="eastAsia"/>
          <w:sz w:val="24"/>
        </w:rPr>
        <w:t>以上（含</w:t>
      </w:r>
      <w:r>
        <w:rPr>
          <w:rFonts w:ascii="宋体" w:hAnsi="宋体" w:cs="Arial"/>
          <w:sz w:val="24"/>
        </w:rPr>
        <w:t>10%</w:t>
      </w:r>
      <w:r>
        <w:rPr>
          <w:rFonts w:ascii="宋体" w:hAnsi="宋体" w:cs="Arial" w:hint="eastAsia"/>
          <w:sz w:val="24"/>
        </w:rPr>
        <w:t>）基金份额的基金份额持有人提名；</w:t>
      </w:r>
    </w:p>
    <w:p w14:paraId="73FCCAB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）决议：基金份额持有人大会在基金管理人职责终止后</w:t>
      </w:r>
      <w:r>
        <w:rPr>
          <w:rFonts w:ascii="宋体" w:hAnsi="宋体" w:cs="Arial"/>
          <w:sz w:val="24"/>
        </w:rPr>
        <w:t>6</w:t>
      </w:r>
      <w:r>
        <w:rPr>
          <w:rFonts w:ascii="宋体" w:hAnsi="宋体" w:cs="Arial" w:hint="eastAsia"/>
          <w:sz w:val="24"/>
        </w:rPr>
        <w:t>个月内对被提名的基金管理人形成决议，该决议需经参加大会的基金份额持有人所持表决权的三分之二以上（含三分之二）表决通过，决议自表决通过之日起生效；</w:t>
      </w:r>
    </w:p>
    <w:p w14:paraId="43FAC42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）临时基金管理人：</w:t>
      </w:r>
      <w:proofErr w:type="gramStart"/>
      <w:r>
        <w:rPr>
          <w:rFonts w:ascii="宋体" w:hAnsi="宋体" w:cs="Arial" w:hint="eastAsia"/>
          <w:sz w:val="24"/>
        </w:rPr>
        <w:t>新任基金</w:t>
      </w:r>
      <w:proofErr w:type="gramEnd"/>
      <w:r>
        <w:rPr>
          <w:rFonts w:ascii="宋体" w:hAnsi="宋体" w:cs="Arial" w:hint="eastAsia"/>
          <w:sz w:val="24"/>
        </w:rPr>
        <w:t>管理人产生之前，由中国证监会指定临时基金管理人；</w:t>
      </w:r>
    </w:p>
    <w:p w14:paraId="0643B9A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）备案：基金份额持有人大会更换基金管理人的决议须报中国证监会备案；</w:t>
      </w:r>
    </w:p>
    <w:p w14:paraId="6F35F8F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5</w:t>
      </w:r>
      <w:r>
        <w:rPr>
          <w:rFonts w:ascii="宋体" w:hAnsi="宋体" w:cs="Arial" w:hint="eastAsia"/>
          <w:sz w:val="24"/>
        </w:rPr>
        <w:t>）公告：基金管理人更换后，由基金托管人在更换基金管理人的基金份额持有人大会决议生效后</w:t>
      </w:r>
      <w:r>
        <w:rPr>
          <w:rFonts w:ascii="宋体" w:hAnsi="宋体" w:cs="Arial"/>
          <w:sz w:val="24"/>
        </w:rPr>
        <w:t>2</w:t>
      </w:r>
      <w:r>
        <w:rPr>
          <w:rFonts w:ascii="宋体" w:hAnsi="宋体" w:cs="Arial" w:hint="eastAsia"/>
          <w:sz w:val="24"/>
        </w:rPr>
        <w:t>日内在规定媒介公告；</w:t>
      </w:r>
    </w:p>
    <w:p w14:paraId="049CBF2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6</w:t>
      </w:r>
      <w:r>
        <w:rPr>
          <w:rFonts w:ascii="宋体" w:hAnsi="宋体" w:cs="Arial" w:hint="eastAsia"/>
          <w:sz w:val="24"/>
        </w:rPr>
        <w:t>）交接：基金管理人职责终止的，基金管理人应妥善保管基金管理业务资料，及时向临时基金管理人或</w:t>
      </w:r>
      <w:proofErr w:type="gramStart"/>
      <w:r>
        <w:rPr>
          <w:rFonts w:ascii="宋体" w:hAnsi="宋体" w:cs="Arial" w:hint="eastAsia"/>
          <w:sz w:val="24"/>
        </w:rPr>
        <w:t>新任基金</w:t>
      </w:r>
      <w:proofErr w:type="gramEnd"/>
      <w:r>
        <w:rPr>
          <w:rFonts w:ascii="宋体" w:hAnsi="宋体" w:cs="Arial" w:hint="eastAsia"/>
          <w:sz w:val="24"/>
        </w:rPr>
        <w:t>管理人办理基金管理业务的移交手续，临时基金管理人或</w:t>
      </w:r>
      <w:proofErr w:type="gramStart"/>
      <w:r>
        <w:rPr>
          <w:rFonts w:ascii="宋体" w:hAnsi="宋体" w:cs="Arial" w:hint="eastAsia"/>
          <w:sz w:val="24"/>
        </w:rPr>
        <w:t>新任基金</w:t>
      </w:r>
      <w:proofErr w:type="gramEnd"/>
      <w:r>
        <w:rPr>
          <w:rFonts w:ascii="宋体" w:hAnsi="宋体" w:cs="Arial" w:hint="eastAsia"/>
          <w:sz w:val="24"/>
        </w:rPr>
        <w:t>管理人应及时接收。</w:t>
      </w:r>
      <w:proofErr w:type="gramStart"/>
      <w:r>
        <w:rPr>
          <w:rFonts w:ascii="宋体" w:hAnsi="宋体" w:cs="Arial" w:hint="eastAsia"/>
          <w:sz w:val="24"/>
        </w:rPr>
        <w:t>新任基金</w:t>
      </w:r>
      <w:proofErr w:type="gramEnd"/>
      <w:r>
        <w:rPr>
          <w:rFonts w:ascii="宋体" w:hAnsi="宋体" w:cs="Arial" w:hint="eastAsia"/>
          <w:sz w:val="24"/>
        </w:rPr>
        <w:t>管理人或临时基金管理人应与基金托管人核对基金资产总值和净值；</w:t>
      </w:r>
    </w:p>
    <w:p w14:paraId="0C5ED1A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7</w:t>
      </w:r>
      <w:r>
        <w:rPr>
          <w:rFonts w:ascii="宋体" w:hAnsi="宋体" w:cs="Arial" w:hint="eastAsia"/>
          <w:sz w:val="24"/>
        </w:rPr>
        <w:t>）审计：基金管理人职责终止的，应当按照法律法规规定聘请符合《证券法》规定的会计师事务所对基金财产进行审计，并将审计结果予以公告，同时报中国证监会备案；审计费用在基金财产中列支；</w:t>
      </w:r>
    </w:p>
    <w:p w14:paraId="2C9EB9C2" w14:textId="77777777" w:rsidR="00255B24" w:rsidRDefault="00F94547">
      <w:pPr>
        <w:adjustRightInd w:val="0"/>
        <w:snapToGrid w:val="0"/>
        <w:spacing w:line="360" w:lineRule="auto"/>
        <w:ind w:firstLineChars="200" w:firstLine="480"/>
        <w:rPr>
          <w:rFonts w:ascii="宋体" w:hAnsi="宋体"/>
          <w:sz w:val="30"/>
          <w:szCs w:val="30"/>
        </w:rPr>
      </w:pPr>
      <w:r>
        <w:rPr>
          <w:rFonts w:ascii="宋体" w:hAnsi="宋体" w:cs="Arial" w:hint="eastAsia"/>
          <w:sz w:val="24"/>
        </w:rPr>
        <w:t>（</w:t>
      </w:r>
      <w:r>
        <w:rPr>
          <w:rFonts w:ascii="宋体" w:hAnsi="宋体" w:cs="Arial"/>
          <w:sz w:val="24"/>
        </w:rPr>
        <w:t>8</w:t>
      </w:r>
      <w:r>
        <w:rPr>
          <w:rFonts w:ascii="宋体" w:hAnsi="宋体" w:cs="Arial" w:hint="eastAsia"/>
          <w:sz w:val="24"/>
        </w:rPr>
        <w:t>）基金名称变更：基金管理人更换后，如果原任或</w:t>
      </w:r>
      <w:proofErr w:type="gramStart"/>
      <w:r>
        <w:rPr>
          <w:rFonts w:ascii="宋体" w:hAnsi="宋体" w:cs="Arial" w:hint="eastAsia"/>
          <w:sz w:val="24"/>
        </w:rPr>
        <w:t>新任基金</w:t>
      </w:r>
      <w:proofErr w:type="gramEnd"/>
      <w:r>
        <w:rPr>
          <w:rFonts w:ascii="宋体" w:hAnsi="宋体" w:cs="Arial" w:hint="eastAsia"/>
          <w:sz w:val="24"/>
        </w:rPr>
        <w:t>管理人要求，应按其要求替换或删除基金名称中与</w:t>
      </w:r>
      <w:proofErr w:type="gramStart"/>
      <w:r>
        <w:rPr>
          <w:rFonts w:ascii="宋体" w:hAnsi="宋体" w:cs="Arial" w:hint="eastAsia"/>
          <w:sz w:val="24"/>
        </w:rPr>
        <w:t>原基金</w:t>
      </w:r>
      <w:proofErr w:type="gramEnd"/>
      <w:r>
        <w:rPr>
          <w:rFonts w:ascii="宋体" w:hAnsi="宋体" w:cs="Arial" w:hint="eastAsia"/>
          <w:sz w:val="24"/>
        </w:rPr>
        <w:t>管理人有关的名称字样。</w:t>
      </w:r>
    </w:p>
    <w:p w14:paraId="60490E2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（二）基金托管人职责终止的情形</w:t>
      </w:r>
    </w:p>
    <w:p w14:paraId="6DB0133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1.基金托管人职责终止的情形</w:t>
      </w:r>
    </w:p>
    <w:p w14:paraId="16DD9E7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有下列情形之一的，基金托管人职责终止：</w:t>
      </w:r>
    </w:p>
    <w:p w14:paraId="4F14F65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）被依法取消基金托管资格；</w:t>
      </w:r>
    </w:p>
    <w:p w14:paraId="723B9A3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）被基金份额持有人大会解任；</w:t>
      </w:r>
    </w:p>
    <w:p w14:paraId="7398CAD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）依法解散、被依法撤销或被依法宣告破产；</w:t>
      </w:r>
    </w:p>
    <w:p w14:paraId="47AA41E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）法律法规及中国证监会规定的和《基金合同》约定的其他情形。</w:t>
      </w:r>
    </w:p>
    <w:p w14:paraId="69AEB30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2.基金托管人的更换程序</w:t>
      </w:r>
    </w:p>
    <w:p w14:paraId="6E17D0C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）提名：</w:t>
      </w:r>
      <w:proofErr w:type="gramStart"/>
      <w:r>
        <w:rPr>
          <w:rFonts w:ascii="宋体" w:hAnsi="宋体" w:cs="Arial" w:hint="eastAsia"/>
          <w:sz w:val="24"/>
        </w:rPr>
        <w:t>新任基金</w:t>
      </w:r>
      <w:proofErr w:type="gramEnd"/>
      <w:r>
        <w:rPr>
          <w:rFonts w:ascii="宋体" w:hAnsi="宋体" w:cs="Arial" w:hint="eastAsia"/>
          <w:sz w:val="24"/>
        </w:rPr>
        <w:t>托管人由基金管理人或由单独或合计持有</w:t>
      </w:r>
      <w:r>
        <w:rPr>
          <w:rFonts w:ascii="宋体" w:hAnsi="宋体" w:cs="Arial"/>
          <w:sz w:val="24"/>
        </w:rPr>
        <w:t>10%</w:t>
      </w:r>
      <w:r>
        <w:rPr>
          <w:rFonts w:ascii="宋体" w:hAnsi="宋体" w:cs="Arial" w:hint="eastAsia"/>
          <w:sz w:val="24"/>
        </w:rPr>
        <w:t>以上（含</w:t>
      </w:r>
      <w:r>
        <w:rPr>
          <w:rFonts w:ascii="宋体" w:hAnsi="宋体" w:cs="Arial"/>
          <w:sz w:val="24"/>
        </w:rPr>
        <w:t>10%</w:t>
      </w:r>
      <w:r>
        <w:rPr>
          <w:rFonts w:ascii="宋体" w:hAnsi="宋体" w:cs="Arial" w:hint="eastAsia"/>
          <w:sz w:val="24"/>
        </w:rPr>
        <w:t>）基金份额的基金份额持有人提名；</w:t>
      </w:r>
    </w:p>
    <w:p w14:paraId="22B1B1C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）决议：基金份额持有人大会在基金托管人职责终止后</w:t>
      </w:r>
      <w:r>
        <w:rPr>
          <w:rFonts w:ascii="宋体" w:hAnsi="宋体" w:cs="Arial"/>
          <w:sz w:val="24"/>
        </w:rPr>
        <w:t>6</w:t>
      </w:r>
      <w:r>
        <w:rPr>
          <w:rFonts w:ascii="宋体" w:hAnsi="宋体" w:cs="Arial" w:hint="eastAsia"/>
          <w:sz w:val="24"/>
        </w:rPr>
        <w:t>个月内对被提名的基金托管人形成决议，该决议需经参加大会的基金份额持有人所持表决权的三分之二以上（含三分之二）表决通过，决议自表决通过之日起生效；</w:t>
      </w:r>
    </w:p>
    <w:p w14:paraId="15FDAB0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）临时基金托管人：</w:t>
      </w:r>
      <w:proofErr w:type="gramStart"/>
      <w:r>
        <w:rPr>
          <w:rFonts w:ascii="宋体" w:hAnsi="宋体" w:cs="Arial" w:hint="eastAsia"/>
          <w:sz w:val="24"/>
        </w:rPr>
        <w:t>新任基金</w:t>
      </w:r>
      <w:proofErr w:type="gramEnd"/>
      <w:r>
        <w:rPr>
          <w:rFonts w:ascii="宋体" w:hAnsi="宋体" w:cs="Arial" w:hint="eastAsia"/>
          <w:sz w:val="24"/>
        </w:rPr>
        <w:t>托管人产生之前，由中国证监会指定临时基金托管人；</w:t>
      </w:r>
    </w:p>
    <w:p w14:paraId="3F9825C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）备案：基金份额持有人大会更换基金托管人的决议须报中国证监会备案；</w:t>
      </w:r>
    </w:p>
    <w:p w14:paraId="4AEE407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5</w:t>
      </w:r>
      <w:r>
        <w:rPr>
          <w:rFonts w:ascii="宋体" w:hAnsi="宋体" w:cs="Arial" w:hint="eastAsia"/>
          <w:sz w:val="24"/>
        </w:rPr>
        <w:t>）公告：基金托管人更换后，由基金管理人在更换基金托管人的基金份额持有人大会决议生效后</w:t>
      </w:r>
      <w:r>
        <w:rPr>
          <w:rFonts w:ascii="宋体" w:hAnsi="宋体" w:cs="Arial"/>
          <w:sz w:val="24"/>
        </w:rPr>
        <w:t>2</w:t>
      </w:r>
      <w:r>
        <w:rPr>
          <w:rFonts w:ascii="宋体" w:hAnsi="宋体" w:cs="Arial" w:hint="eastAsia"/>
          <w:sz w:val="24"/>
        </w:rPr>
        <w:t>日内在规定媒介公告；</w:t>
      </w:r>
    </w:p>
    <w:p w14:paraId="312D35F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6</w:t>
      </w:r>
      <w:r>
        <w:rPr>
          <w:rFonts w:ascii="宋体" w:hAnsi="宋体" w:cs="Arial" w:hint="eastAsia"/>
          <w:sz w:val="24"/>
        </w:rPr>
        <w:t>）交接：基金托管人职责终止的，应当妥善保管基金财产和基金托管业务资料，及时办理基金财产和基金托管业务的移交手续，</w:t>
      </w:r>
      <w:proofErr w:type="gramStart"/>
      <w:r>
        <w:rPr>
          <w:rFonts w:ascii="宋体" w:hAnsi="宋体" w:cs="Arial" w:hint="eastAsia"/>
          <w:sz w:val="24"/>
        </w:rPr>
        <w:t>新任基金</w:t>
      </w:r>
      <w:proofErr w:type="gramEnd"/>
      <w:r>
        <w:rPr>
          <w:rFonts w:ascii="宋体" w:hAnsi="宋体" w:cs="Arial" w:hint="eastAsia"/>
          <w:sz w:val="24"/>
        </w:rPr>
        <w:t>托管人或者临时基金托管人应当及时接收。</w:t>
      </w:r>
      <w:proofErr w:type="gramStart"/>
      <w:r>
        <w:rPr>
          <w:rFonts w:ascii="宋体" w:hAnsi="宋体" w:cs="Arial" w:hint="eastAsia"/>
          <w:sz w:val="24"/>
        </w:rPr>
        <w:t>新任基金</w:t>
      </w:r>
      <w:proofErr w:type="gramEnd"/>
      <w:r>
        <w:rPr>
          <w:rFonts w:ascii="宋体" w:hAnsi="宋体" w:cs="Arial" w:hint="eastAsia"/>
          <w:sz w:val="24"/>
        </w:rPr>
        <w:t>托管人或临时基金托管人与基金管理人核对基金资产总值和净值；</w:t>
      </w:r>
    </w:p>
    <w:p w14:paraId="2E7CC2F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7</w:t>
      </w:r>
      <w:r>
        <w:rPr>
          <w:rFonts w:ascii="宋体" w:hAnsi="宋体" w:cs="Arial" w:hint="eastAsia"/>
          <w:sz w:val="24"/>
        </w:rPr>
        <w:t>）审计：基金托管人职责终止的，应当按照法律法规规定聘请符合《证券法》规定的会计师事务所对基金财产进行审计，并将审计结果予以公告，同时报中国证监会备案；审计费用在基金财产中列支。</w:t>
      </w:r>
    </w:p>
    <w:p w14:paraId="03503CF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（三）基金管理人与基金托管人同时更换的条件和程序</w:t>
      </w:r>
    </w:p>
    <w:p w14:paraId="383FDB9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.提名：如果基金管理人和基金托管人同时更换，由单独或合计持有基金总份额</w:t>
      </w:r>
      <w:r>
        <w:rPr>
          <w:rFonts w:ascii="宋体" w:hAnsi="宋体" w:cs="Arial"/>
          <w:sz w:val="24"/>
        </w:rPr>
        <w:t>10%</w:t>
      </w:r>
      <w:r>
        <w:rPr>
          <w:rFonts w:ascii="宋体" w:hAnsi="宋体" w:cs="Arial" w:hint="eastAsia"/>
          <w:sz w:val="24"/>
        </w:rPr>
        <w:t>以上（含</w:t>
      </w:r>
      <w:r>
        <w:rPr>
          <w:rFonts w:ascii="宋体" w:hAnsi="宋体" w:cs="Arial"/>
          <w:sz w:val="24"/>
        </w:rPr>
        <w:t>10%</w:t>
      </w:r>
      <w:r>
        <w:rPr>
          <w:rFonts w:ascii="宋体" w:hAnsi="宋体" w:cs="Arial" w:hint="eastAsia"/>
          <w:sz w:val="24"/>
        </w:rPr>
        <w:t>）的基金份额持有人提名新的基金管理人和基金托管人；</w:t>
      </w:r>
    </w:p>
    <w:p w14:paraId="04D9415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.基金管理人和基金托管人的更换分别按上述程序进行；</w:t>
      </w:r>
    </w:p>
    <w:p w14:paraId="1DABE07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sz w:val="24"/>
        </w:rPr>
        <w:t>3</w:t>
      </w:r>
      <w:r>
        <w:rPr>
          <w:rFonts w:ascii="宋体" w:hAnsi="宋体" w:cs="Arial" w:hint="eastAsia"/>
          <w:sz w:val="24"/>
        </w:rPr>
        <w:t>.公告：</w:t>
      </w:r>
      <w:proofErr w:type="gramStart"/>
      <w:r>
        <w:rPr>
          <w:rFonts w:ascii="宋体" w:hAnsi="宋体" w:cs="Arial" w:hint="eastAsia"/>
          <w:sz w:val="24"/>
        </w:rPr>
        <w:t>新任基金</w:t>
      </w:r>
      <w:proofErr w:type="gramEnd"/>
      <w:r>
        <w:rPr>
          <w:rFonts w:ascii="宋体" w:hAnsi="宋体" w:cs="Arial" w:hint="eastAsia"/>
          <w:sz w:val="24"/>
        </w:rPr>
        <w:t>管理人和</w:t>
      </w:r>
      <w:proofErr w:type="gramStart"/>
      <w:r>
        <w:rPr>
          <w:rFonts w:ascii="宋体" w:hAnsi="宋体" w:cs="Arial" w:hint="eastAsia"/>
          <w:sz w:val="24"/>
        </w:rPr>
        <w:t>新任基金</w:t>
      </w:r>
      <w:proofErr w:type="gramEnd"/>
      <w:r>
        <w:rPr>
          <w:rFonts w:ascii="宋体" w:hAnsi="宋体" w:cs="Arial" w:hint="eastAsia"/>
          <w:sz w:val="24"/>
        </w:rPr>
        <w:t>托管人应在更换基金管理人和基金托管人的基金份额持有人大会决议生效后</w:t>
      </w:r>
      <w:r>
        <w:rPr>
          <w:rFonts w:ascii="宋体" w:hAnsi="宋体" w:cs="Arial"/>
          <w:sz w:val="24"/>
        </w:rPr>
        <w:t>2</w:t>
      </w:r>
      <w:r>
        <w:rPr>
          <w:rFonts w:ascii="宋体" w:hAnsi="宋体" w:cs="Arial" w:hint="eastAsia"/>
          <w:sz w:val="24"/>
        </w:rPr>
        <w:t>日内在规定媒介上联合公告。</w:t>
      </w:r>
    </w:p>
    <w:p w14:paraId="65CF5B3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（四）</w:t>
      </w:r>
      <w:proofErr w:type="gramStart"/>
      <w:r>
        <w:rPr>
          <w:rFonts w:ascii="宋体" w:hAnsi="宋体" w:cs="Arial" w:hint="eastAsia"/>
          <w:sz w:val="24"/>
        </w:rPr>
        <w:t>新任基金</w:t>
      </w:r>
      <w:proofErr w:type="gramEnd"/>
      <w:r>
        <w:rPr>
          <w:rFonts w:ascii="宋体" w:hAnsi="宋体" w:cs="Arial" w:hint="eastAsia"/>
          <w:sz w:val="24"/>
        </w:rPr>
        <w:t>管理人或临时基金管理人接收基金管理业务或</w:t>
      </w:r>
      <w:proofErr w:type="gramStart"/>
      <w:r>
        <w:rPr>
          <w:rFonts w:ascii="宋体" w:hAnsi="宋体" w:cs="Arial" w:hint="eastAsia"/>
          <w:sz w:val="24"/>
        </w:rPr>
        <w:t>新任基金</w:t>
      </w:r>
      <w:proofErr w:type="gramEnd"/>
      <w:r>
        <w:rPr>
          <w:rFonts w:ascii="宋体" w:hAnsi="宋体" w:cs="Arial" w:hint="eastAsia"/>
          <w:sz w:val="24"/>
        </w:rPr>
        <w:t>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14:paraId="5EEA73D0" w14:textId="77777777" w:rsidR="00255B24" w:rsidRDefault="00F94547">
      <w:pPr>
        <w:widowControl/>
        <w:jc w:val="left"/>
        <w:rPr>
          <w:rFonts w:ascii="宋体" w:hAnsi="宋体" w:cs="Arial"/>
          <w:sz w:val="24"/>
        </w:rPr>
      </w:pPr>
      <w:r>
        <w:rPr>
          <w:rFonts w:ascii="宋体" w:hAnsi="宋体" w:cs="Arial"/>
          <w:sz w:val="24"/>
        </w:rPr>
        <w:br w:type="page"/>
      </w:r>
    </w:p>
    <w:p w14:paraId="6369ECEB" w14:textId="77777777" w:rsidR="00255B24" w:rsidRDefault="00F94547">
      <w:pPr>
        <w:pStyle w:val="2"/>
        <w:spacing w:before="0" w:after="0" w:line="360" w:lineRule="auto"/>
        <w:jc w:val="center"/>
        <w:rPr>
          <w:rFonts w:ascii="宋体" w:eastAsia="宋体" w:hAnsi="宋体"/>
          <w:sz w:val="30"/>
        </w:rPr>
      </w:pPr>
      <w:bookmarkStart w:id="97" w:name="_Toc114149853"/>
      <w:r>
        <w:rPr>
          <w:rFonts w:ascii="宋体" w:eastAsia="宋体" w:hAnsi="宋体" w:hint="eastAsia"/>
          <w:sz w:val="30"/>
        </w:rPr>
        <w:lastRenderedPageBreak/>
        <w:t>十五、禁止行为</w:t>
      </w:r>
      <w:bookmarkEnd w:id="97"/>
    </w:p>
    <w:p w14:paraId="71B2E4F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本协议当事人禁止从事的行为，包括但不限于：</w:t>
      </w:r>
    </w:p>
    <w:p w14:paraId="7706994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（一）基金管理人、基金托管人将其固有财产或者他人财产混同于基金财产从事证券投资。</w:t>
      </w:r>
    </w:p>
    <w:p w14:paraId="5333A9B0" w14:textId="77777777" w:rsidR="00255B24" w:rsidRDefault="00F94547">
      <w:pPr>
        <w:spacing w:line="360" w:lineRule="auto"/>
        <w:ind w:firstLineChars="200" w:firstLine="480"/>
        <w:rPr>
          <w:rFonts w:ascii="宋体" w:hAnsi="宋体"/>
        </w:rPr>
      </w:pPr>
      <w:r>
        <w:rPr>
          <w:rFonts w:ascii="宋体" w:hAnsi="宋体" w:hint="eastAsia"/>
          <w:sz w:val="24"/>
        </w:rPr>
        <w:t>（二）基金管理人不公平地对待其管理的不同基金财产，基金托管人不公平地对待其托管的不同基金财产。</w:t>
      </w:r>
    </w:p>
    <w:p w14:paraId="00019DE2" w14:textId="77777777" w:rsidR="00255B24" w:rsidRDefault="00F94547">
      <w:pPr>
        <w:spacing w:line="360" w:lineRule="auto"/>
        <w:ind w:firstLineChars="200" w:firstLine="480"/>
        <w:rPr>
          <w:rFonts w:ascii="宋体" w:hAnsi="宋体"/>
          <w:sz w:val="24"/>
        </w:rPr>
      </w:pPr>
      <w:r>
        <w:rPr>
          <w:rFonts w:ascii="宋体" w:hAnsi="宋体" w:hint="eastAsia"/>
          <w:sz w:val="24"/>
        </w:rPr>
        <w:t>（三）基金管理人、基金托管人利用基金财产或职务之便为基金份额持有人以外的第三人牟取利益。</w:t>
      </w:r>
    </w:p>
    <w:p w14:paraId="59128B84" w14:textId="77777777" w:rsidR="00255B24" w:rsidRDefault="00F94547">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377F2B6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（五）基金管理人、基金托管人对他人泄露基金运作和管理过程中任何尚未按法律法规规定的方式公开披露的信息。</w:t>
      </w:r>
    </w:p>
    <w:p w14:paraId="24B218E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（六）基金管理人在没有充足资金的情况下向基金托管人发出投资指令和赎回、分红资金的划拨指令，或违规向基金托管人发出指令。</w:t>
      </w:r>
    </w:p>
    <w:p w14:paraId="5F72AFC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（七）基金管理人、基金托管人在行政上、财务上不</w:t>
      </w:r>
      <w:proofErr w:type="gramStart"/>
      <w:r>
        <w:rPr>
          <w:rFonts w:ascii="宋体" w:hAnsi="宋体" w:cs="Arial" w:hint="eastAsia"/>
          <w:sz w:val="24"/>
        </w:rPr>
        <w:t>独立,</w:t>
      </w:r>
      <w:proofErr w:type="gramEnd"/>
      <w:r>
        <w:rPr>
          <w:rFonts w:ascii="宋体" w:hAnsi="宋体" w:cs="Arial" w:hint="eastAsia"/>
          <w:sz w:val="24"/>
        </w:rPr>
        <w:t>其高级管理人员和其他从业人员相互兼职。</w:t>
      </w:r>
    </w:p>
    <w:p w14:paraId="4DCF7A2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（八）基金托管人私自动用或处分基金财产，根据基金管理人的合法指令、《基金合同》或托管协议的规定进行处分的除外。</w:t>
      </w:r>
    </w:p>
    <w:p w14:paraId="2B8D2D5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（九）基金财产用于下列投资或者活动：1</w:t>
      </w:r>
      <w:r>
        <w:rPr>
          <w:rFonts w:ascii="宋体" w:hAnsi="宋体" w:cs="Arial"/>
          <w:sz w:val="24"/>
        </w:rPr>
        <w:t>.承销证券；</w:t>
      </w:r>
      <w:r>
        <w:rPr>
          <w:rFonts w:ascii="宋体" w:hAnsi="宋体" w:cs="Arial" w:hint="eastAsia"/>
          <w:sz w:val="24"/>
        </w:rPr>
        <w:t>2</w:t>
      </w:r>
      <w:r>
        <w:rPr>
          <w:rFonts w:ascii="宋体" w:hAnsi="宋体" w:cs="Arial"/>
          <w:sz w:val="24"/>
        </w:rPr>
        <w:t>.</w:t>
      </w:r>
      <w:r>
        <w:rPr>
          <w:rFonts w:ascii="宋体" w:hAnsi="宋体" w:cs="Arial" w:hint="eastAsia"/>
          <w:sz w:val="24"/>
        </w:rPr>
        <w:t>违反</w:t>
      </w:r>
      <w:r>
        <w:rPr>
          <w:rFonts w:ascii="宋体" w:hAnsi="宋体" w:cs="Arial"/>
          <w:sz w:val="24"/>
        </w:rPr>
        <w:t>规定向他人贷款或者提供担保；</w:t>
      </w:r>
      <w:r>
        <w:rPr>
          <w:rFonts w:ascii="宋体" w:hAnsi="宋体" w:cs="Arial" w:hint="eastAsia"/>
          <w:sz w:val="24"/>
        </w:rPr>
        <w:t>3</w:t>
      </w:r>
      <w:r>
        <w:rPr>
          <w:rFonts w:ascii="宋体" w:hAnsi="宋体" w:cs="Arial"/>
          <w:sz w:val="24"/>
        </w:rPr>
        <w:t>.从事承担无限责任的投资；</w:t>
      </w:r>
      <w:r>
        <w:rPr>
          <w:rFonts w:ascii="宋体" w:hAnsi="宋体" w:cs="Arial" w:hint="eastAsia"/>
          <w:sz w:val="24"/>
        </w:rPr>
        <w:t>4</w:t>
      </w:r>
      <w:r>
        <w:rPr>
          <w:rFonts w:ascii="宋体" w:hAnsi="宋体" w:cs="Arial"/>
          <w:sz w:val="24"/>
        </w:rPr>
        <w:t>.买卖其他基金份额，但</w:t>
      </w:r>
      <w:r>
        <w:rPr>
          <w:rFonts w:ascii="宋体" w:hAnsi="宋体" w:cs="Arial" w:hint="eastAsia"/>
          <w:sz w:val="24"/>
        </w:rPr>
        <w:t>法律法规或中国证监会</w:t>
      </w:r>
      <w:r>
        <w:rPr>
          <w:rFonts w:ascii="宋体" w:hAnsi="宋体" w:cs="Arial"/>
          <w:sz w:val="24"/>
        </w:rPr>
        <w:t>另有规定的除外；</w:t>
      </w:r>
      <w:r>
        <w:rPr>
          <w:rFonts w:ascii="宋体" w:hAnsi="宋体" w:cs="Arial" w:hint="eastAsia"/>
          <w:sz w:val="24"/>
        </w:rPr>
        <w:t>5</w:t>
      </w:r>
      <w:r>
        <w:rPr>
          <w:rFonts w:ascii="宋体" w:hAnsi="宋体" w:cs="Arial"/>
          <w:sz w:val="24"/>
        </w:rPr>
        <w:t>.向其基金管理人、基金托管人出资；</w:t>
      </w:r>
      <w:r>
        <w:rPr>
          <w:rFonts w:ascii="宋体" w:hAnsi="宋体" w:cs="Arial" w:hint="eastAsia"/>
          <w:sz w:val="24"/>
        </w:rPr>
        <w:t>6</w:t>
      </w:r>
      <w:r>
        <w:rPr>
          <w:rFonts w:ascii="宋体" w:hAnsi="宋体" w:cs="Arial"/>
          <w:sz w:val="24"/>
        </w:rPr>
        <w:t>.从事内幕交易、操纵证券交易价格及其他不正当的证券交易活动；</w:t>
      </w:r>
      <w:r>
        <w:rPr>
          <w:rFonts w:ascii="宋体" w:hAnsi="宋体" w:cs="Arial" w:hint="eastAsia"/>
          <w:sz w:val="24"/>
        </w:rPr>
        <w:t>7</w:t>
      </w:r>
      <w:r>
        <w:rPr>
          <w:rFonts w:ascii="宋体" w:hAnsi="宋体" w:cs="Arial"/>
          <w:sz w:val="24"/>
        </w:rPr>
        <w:t>.法律</w:t>
      </w:r>
      <w:r>
        <w:rPr>
          <w:rFonts w:ascii="宋体" w:hAnsi="宋体" w:cs="Arial" w:hint="eastAsia"/>
          <w:sz w:val="24"/>
        </w:rPr>
        <w:t>、行政</w:t>
      </w:r>
      <w:r>
        <w:rPr>
          <w:rFonts w:ascii="宋体" w:hAnsi="宋体" w:cs="Arial"/>
          <w:sz w:val="24"/>
        </w:rPr>
        <w:t>法规</w:t>
      </w:r>
      <w:r>
        <w:rPr>
          <w:rFonts w:ascii="宋体" w:hAnsi="宋体" w:cs="Arial" w:hint="eastAsia"/>
          <w:sz w:val="24"/>
        </w:rPr>
        <w:t>和</w:t>
      </w:r>
      <w:r>
        <w:rPr>
          <w:rFonts w:ascii="宋体" w:hAnsi="宋体" w:cs="Arial"/>
          <w:sz w:val="24"/>
        </w:rPr>
        <w:t>中国证监会规定禁止的其他活动</w:t>
      </w:r>
      <w:r>
        <w:rPr>
          <w:rFonts w:ascii="宋体" w:hAnsi="宋体" w:cs="Arial" w:hint="eastAsia"/>
          <w:sz w:val="24"/>
        </w:rPr>
        <w:t>。</w:t>
      </w:r>
    </w:p>
    <w:p w14:paraId="621124E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法律、行政法规或监管部门取消或调整上述禁止性规定，如适用于本基金，基金管理人在履行适当程序后，则本基金投资不再受相关限制或按调整后的规定执行。</w:t>
      </w:r>
    </w:p>
    <w:p w14:paraId="46C21BB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（十）法律法规和《基金合同》禁止的其他行为，以及依照法律、行政法规有关规定，由国务院证券监督管理机构规定禁止基金管理人、基金托管人从事的其他行为。</w:t>
      </w:r>
    </w:p>
    <w:p w14:paraId="1FAD4AB7" w14:textId="77777777" w:rsidR="00255B24" w:rsidRDefault="00F94547">
      <w:pPr>
        <w:widowControl/>
        <w:jc w:val="left"/>
        <w:rPr>
          <w:rFonts w:ascii="宋体" w:hAnsi="宋体"/>
          <w:sz w:val="30"/>
          <w:szCs w:val="30"/>
        </w:rPr>
      </w:pPr>
      <w:r>
        <w:rPr>
          <w:rFonts w:ascii="宋体" w:hAnsi="宋体"/>
          <w:sz w:val="30"/>
          <w:szCs w:val="30"/>
        </w:rPr>
        <w:br w:type="page"/>
      </w:r>
    </w:p>
    <w:p w14:paraId="56181A28" w14:textId="77777777" w:rsidR="00255B24" w:rsidRDefault="00F94547">
      <w:pPr>
        <w:pStyle w:val="2"/>
        <w:spacing w:before="0" w:after="0" w:line="360" w:lineRule="auto"/>
        <w:jc w:val="center"/>
        <w:rPr>
          <w:rFonts w:ascii="宋体" w:eastAsia="宋体" w:hAnsi="宋体"/>
          <w:sz w:val="30"/>
        </w:rPr>
      </w:pPr>
      <w:bookmarkStart w:id="98" w:name="_Toc114149854"/>
      <w:r>
        <w:rPr>
          <w:rFonts w:ascii="宋体" w:eastAsia="宋体" w:hAnsi="宋体" w:hint="eastAsia"/>
          <w:sz w:val="30"/>
        </w:rPr>
        <w:lastRenderedPageBreak/>
        <w:t>十六、托管协议的变更、终止与基金财产的清算</w:t>
      </w:r>
      <w:bookmarkEnd w:id="98"/>
    </w:p>
    <w:p w14:paraId="75B05BE7"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（一）托管协议的变更程序</w:t>
      </w:r>
    </w:p>
    <w:p w14:paraId="09C291ED" w14:textId="77777777" w:rsidR="00255B24" w:rsidRDefault="00F94547">
      <w:pPr>
        <w:adjustRightInd w:val="0"/>
        <w:snapToGrid w:val="0"/>
        <w:spacing w:line="360" w:lineRule="auto"/>
        <w:ind w:firstLineChars="200" w:firstLine="480"/>
        <w:rPr>
          <w:rFonts w:ascii="宋体" w:hAnsi="宋体"/>
          <w:sz w:val="30"/>
          <w:szCs w:val="30"/>
        </w:rPr>
      </w:pPr>
      <w:r>
        <w:rPr>
          <w:rFonts w:ascii="宋体" w:hAnsi="宋体" w:cs="Arial" w:hint="eastAsia"/>
          <w:sz w:val="24"/>
        </w:rPr>
        <w:t>本协议双方当事人经协商一致，可以对协议进行修改。修改后的新协议，其内容不得与《基金合同》的规定有任何冲突。基金托管协议的变更报中国证监会备案后生效。</w:t>
      </w:r>
    </w:p>
    <w:p w14:paraId="0864DEE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（二）托管协议终止的情形</w:t>
      </w:r>
    </w:p>
    <w:p w14:paraId="20C736E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1.《基金合同》终止；</w:t>
      </w:r>
    </w:p>
    <w:p w14:paraId="15921B9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2.基金托管人解散、依法被撤销、破产或由其他基金托管人接管基金资产；</w:t>
      </w:r>
    </w:p>
    <w:p w14:paraId="2139BB1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3.基金管理人解散、依法被撤销、破产或由其他基金管理人接管基金管理权；</w:t>
      </w:r>
    </w:p>
    <w:p w14:paraId="3ECA1FAB"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4.发生法律法规或《基金合同》规定的终止事项。</w:t>
      </w:r>
    </w:p>
    <w:p w14:paraId="6B2DA83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（三）基金财产的清算</w:t>
      </w:r>
    </w:p>
    <w:p w14:paraId="519ABED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3898F46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2.基金财产清算小组组成：基金财产清算小组成员由基金管理人、基金托管人</w:t>
      </w:r>
      <w:r>
        <w:rPr>
          <w:bCs/>
          <w:sz w:val="24"/>
        </w:rPr>
        <w:t>、符合</w:t>
      </w:r>
      <w:r>
        <w:rPr>
          <w:rFonts w:hint="eastAsia"/>
          <w:bCs/>
          <w:sz w:val="24"/>
        </w:rPr>
        <w:t>《证券法》规定</w:t>
      </w:r>
      <w:r>
        <w:rPr>
          <w:bCs/>
          <w:sz w:val="24"/>
        </w:rPr>
        <w:t>的</w:t>
      </w:r>
      <w:r>
        <w:rPr>
          <w:rFonts w:ascii="宋体" w:hAnsi="宋体" w:cs="Arial" w:hint="eastAsia"/>
          <w:sz w:val="24"/>
        </w:rPr>
        <w:t>注册会计师、律师以及中国证监会指定的人员组成。基金财产清算小组可以聘用必要的工作人员。</w:t>
      </w:r>
    </w:p>
    <w:p w14:paraId="5EE4341C"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3.基金财产清算小组职责：基金财产清算小组负责基金财产的保管、清理、估价、变现和分配。基金财产清算小组可以依法进行必要的民事活动。</w:t>
      </w:r>
    </w:p>
    <w:p w14:paraId="73AFEE3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4.基金财产清算程序：</w:t>
      </w:r>
    </w:p>
    <w:p w14:paraId="3F5277D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（1）《基金合同》终止情形出现时，由基金财产清算小组统一接管基金；</w:t>
      </w:r>
    </w:p>
    <w:p w14:paraId="59CD4901"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（2）对基金财产和债权债务进行清理和确认；</w:t>
      </w:r>
    </w:p>
    <w:p w14:paraId="33767E8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（3）对基金财产进行估值和变现；</w:t>
      </w:r>
    </w:p>
    <w:p w14:paraId="63E1191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（4）制作清算报告；</w:t>
      </w:r>
    </w:p>
    <w:p w14:paraId="4D8BB66F"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（5）聘请会计师事务所对清算报告进行外部审计，聘请律师事务所对清算报告出具法律意见书；</w:t>
      </w:r>
    </w:p>
    <w:p w14:paraId="03E29393" w14:textId="77777777" w:rsidR="00255B24" w:rsidRDefault="00F9454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441A50" w14:textId="77777777" w:rsidR="00255B24" w:rsidRDefault="00F94547">
      <w:pPr>
        <w:adjustRightInd w:val="0"/>
        <w:snapToGrid w:val="0"/>
        <w:spacing w:line="360" w:lineRule="auto"/>
        <w:ind w:firstLineChars="200" w:firstLine="480"/>
        <w:rPr>
          <w:rFonts w:ascii="宋体" w:hAnsi="宋体" w:cs="Arial"/>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DB2337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w:t>
      </w:r>
      <w:r>
        <w:rPr>
          <w:rFonts w:hint="eastAsia"/>
          <w:bCs/>
          <w:sz w:val="24"/>
        </w:rPr>
        <w:lastRenderedPageBreak/>
        <w:t>不能及时变现的，清算期限相应顺延</w:t>
      </w:r>
      <w:r>
        <w:rPr>
          <w:bCs/>
          <w:sz w:val="24"/>
        </w:rPr>
        <w:t>。</w:t>
      </w:r>
    </w:p>
    <w:p w14:paraId="586D7C9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6.清算费用</w:t>
      </w:r>
    </w:p>
    <w:p w14:paraId="7B510883" w14:textId="77777777" w:rsidR="00255B24" w:rsidRDefault="00F94547">
      <w:pPr>
        <w:adjustRightInd w:val="0"/>
        <w:snapToGrid w:val="0"/>
        <w:spacing w:line="360" w:lineRule="auto"/>
        <w:ind w:firstLineChars="200" w:firstLine="480"/>
        <w:rPr>
          <w:rFonts w:ascii="宋体" w:hAnsi="宋体" w:cs="Arial"/>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6EC0861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7.基金财产清算剩余资产的分配</w:t>
      </w:r>
    </w:p>
    <w:p w14:paraId="6AE628E7" w14:textId="77777777" w:rsidR="00255B24" w:rsidRDefault="00F94547">
      <w:pPr>
        <w:adjustRightInd w:val="0"/>
        <w:snapToGrid w:val="0"/>
        <w:spacing w:line="360" w:lineRule="auto"/>
        <w:ind w:firstLineChars="200" w:firstLine="480"/>
        <w:rPr>
          <w:rFonts w:ascii="宋体" w:hAnsi="宋体" w:cs="Arial"/>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ABC177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8.基金财产清算的公告</w:t>
      </w:r>
    </w:p>
    <w:p w14:paraId="3CDBDE5B" w14:textId="77777777" w:rsidR="00255B24" w:rsidRDefault="00F94547">
      <w:pPr>
        <w:adjustRightInd w:val="0"/>
        <w:snapToGrid w:val="0"/>
        <w:spacing w:line="360" w:lineRule="auto"/>
        <w:ind w:firstLineChars="200" w:firstLine="480"/>
        <w:rPr>
          <w:rFonts w:ascii="宋体" w:hAnsi="宋体" w:cs="Arial"/>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59EE2B83"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9.基金财产清算账册及文件的保存</w:t>
      </w:r>
    </w:p>
    <w:p w14:paraId="2108345B" w14:textId="77777777" w:rsidR="00255B24" w:rsidRDefault="00F94547">
      <w:pPr>
        <w:spacing w:line="360" w:lineRule="auto"/>
        <w:ind w:firstLineChars="200" w:firstLine="480"/>
        <w:rPr>
          <w:bCs/>
          <w:sz w:val="24"/>
        </w:rPr>
      </w:pPr>
      <w:r>
        <w:rPr>
          <w:bCs/>
          <w:sz w:val="24"/>
        </w:rPr>
        <w:t>基金财产清算账册及有关文件由基金托管人保存</w:t>
      </w:r>
      <w:r>
        <w:rPr>
          <w:rFonts w:hint="eastAsia"/>
          <w:bCs/>
          <w:sz w:val="24"/>
        </w:rPr>
        <w:t>，保存</w:t>
      </w:r>
      <w:bookmarkStart w:id="99" w:name="_Hlk68079676"/>
      <w:r>
        <w:rPr>
          <w:rFonts w:hint="eastAsia"/>
          <w:bCs/>
          <w:sz w:val="24"/>
        </w:rPr>
        <w:t>期限不低于法律法规规定的最低期限</w:t>
      </w:r>
      <w:bookmarkEnd w:id="99"/>
      <w:r>
        <w:rPr>
          <w:bCs/>
          <w:sz w:val="24"/>
        </w:rPr>
        <w:t>。</w:t>
      </w:r>
    </w:p>
    <w:p w14:paraId="52CD52E3" w14:textId="77777777" w:rsidR="00255B24" w:rsidRDefault="00F94547">
      <w:pPr>
        <w:widowControl/>
        <w:jc w:val="left"/>
        <w:rPr>
          <w:rFonts w:ascii="宋体" w:hAnsi="宋体" w:cs="Arial"/>
          <w:sz w:val="24"/>
        </w:rPr>
      </w:pPr>
      <w:r>
        <w:rPr>
          <w:rFonts w:ascii="宋体" w:hAnsi="宋体" w:cs="Arial"/>
          <w:sz w:val="24"/>
        </w:rPr>
        <w:br w:type="page"/>
      </w:r>
    </w:p>
    <w:p w14:paraId="29F1A16A" w14:textId="77777777" w:rsidR="00255B24" w:rsidRDefault="00F94547">
      <w:pPr>
        <w:pStyle w:val="2"/>
        <w:spacing w:before="0" w:after="0" w:line="360" w:lineRule="auto"/>
        <w:jc w:val="center"/>
        <w:rPr>
          <w:rFonts w:ascii="宋体" w:eastAsia="宋体" w:hAnsi="宋体"/>
          <w:sz w:val="30"/>
        </w:rPr>
      </w:pPr>
      <w:bookmarkStart w:id="100" w:name="_Toc114149855"/>
      <w:r>
        <w:rPr>
          <w:rFonts w:ascii="宋体" w:eastAsia="宋体" w:hAnsi="宋体" w:hint="eastAsia"/>
          <w:sz w:val="30"/>
        </w:rPr>
        <w:lastRenderedPageBreak/>
        <w:t>十七、违约责任</w:t>
      </w:r>
      <w:bookmarkEnd w:id="100"/>
    </w:p>
    <w:p w14:paraId="35CA15E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（一）基金管理人、基金托管人不履行本协议或履行本协议不符合约定的，应当承担违约责任。</w:t>
      </w:r>
    </w:p>
    <w:p w14:paraId="24B73A2D"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43FA27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848B26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1.不可抗力；</w:t>
      </w:r>
    </w:p>
    <w:p w14:paraId="57F201D2"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2.基金管理人和/或基金托管人按照届时有效的法律法规或中国证监会的规定作为或不作为而造成的损失等；</w:t>
      </w:r>
    </w:p>
    <w:p w14:paraId="7A3CC9A6" w14:textId="196BC0C8"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3.在没有过错的情况下， 基金管理人由于按照基金合同规定的投资原则行使或不行使其投资权造成的损失等；</w:t>
      </w:r>
    </w:p>
    <w:p w14:paraId="0D5F604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p w14:paraId="1EFCD77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4E1A92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4022D8E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3E7849D" w14:textId="77777777" w:rsidR="00255B24" w:rsidRDefault="00F94547">
      <w:pPr>
        <w:widowControl/>
        <w:jc w:val="left"/>
        <w:rPr>
          <w:rFonts w:ascii="宋体" w:hAnsi="宋体" w:cs="Arial"/>
          <w:sz w:val="24"/>
        </w:rPr>
      </w:pPr>
      <w:r>
        <w:rPr>
          <w:rFonts w:ascii="宋体" w:hAnsi="宋体" w:cs="Arial"/>
          <w:sz w:val="24"/>
        </w:rPr>
        <w:br w:type="page"/>
      </w:r>
    </w:p>
    <w:p w14:paraId="33D73016" w14:textId="77777777" w:rsidR="00255B24" w:rsidRDefault="00F94547">
      <w:pPr>
        <w:pStyle w:val="2"/>
        <w:spacing w:before="0" w:after="0" w:line="360" w:lineRule="auto"/>
        <w:jc w:val="center"/>
        <w:rPr>
          <w:rFonts w:ascii="宋体" w:eastAsia="宋体" w:hAnsi="宋体"/>
          <w:sz w:val="30"/>
        </w:rPr>
      </w:pPr>
      <w:bookmarkStart w:id="101" w:name="_Toc114149856"/>
      <w:r>
        <w:rPr>
          <w:rFonts w:ascii="宋体" w:eastAsia="宋体" w:hAnsi="宋体" w:hint="eastAsia"/>
          <w:sz w:val="30"/>
        </w:rPr>
        <w:lastRenderedPageBreak/>
        <w:t>十八、争议解决方式</w:t>
      </w:r>
      <w:bookmarkEnd w:id="101"/>
    </w:p>
    <w:p w14:paraId="615C868B" w14:textId="359839C3"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w:t>
      </w:r>
      <w:r>
        <w:rPr>
          <w:rFonts w:hint="eastAsia"/>
          <w:bCs/>
          <w:sz w:val="24"/>
        </w:rPr>
        <w:t>中国国际经济贸易仲裁委员会</w:t>
      </w:r>
      <w:r>
        <w:rPr>
          <w:rFonts w:ascii="宋体" w:hAnsi="宋体" w:cs="Arial" w:hint="eastAsia"/>
          <w:sz w:val="24"/>
        </w:rPr>
        <w:t>届时有效的仲裁规则进行仲裁。仲裁裁决是终局的，对</w:t>
      </w:r>
      <w:r>
        <w:rPr>
          <w:rFonts w:hint="eastAsia"/>
          <w:bCs/>
          <w:sz w:val="24"/>
        </w:rPr>
        <w:t>仲裁各方</w:t>
      </w:r>
      <w:r>
        <w:rPr>
          <w:rFonts w:ascii="宋体" w:hAnsi="宋体" w:cs="Arial" w:hint="eastAsia"/>
          <w:sz w:val="24"/>
        </w:rPr>
        <w:t>均有约束力，除非仲裁裁决另有规定，仲裁费用由败诉方承担。</w:t>
      </w:r>
    </w:p>
    <w:p w14:paraId="6BC9A765"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227B552" w14:textId="77777777" w:rsidR="00255B24" w:rsidRDefault="00F94547">
      <w:pPr>
        <w:adjustRightInd w:val="0"/>
        <w:snapToGrid w:val="0"/>
        <w:spacing w:line="360" w:lineRule="auto"/>
        <w:ind w:firstLineChars="200" w:firstLine="480"/>
        <w:rPr>
          <w:rFonts w:ascii="宋体" w:hAnsi="Calibri" w:cs="宋体"/>
          <w:color w:val="0000FF"/>
          <w:kern w:val="0"/>
          <w:sz w:val="22"/>
          <w:szCs w:val="22"/>
          <w:lang w:val="zh-CN"/>
        </w:rPr>
      </w:pPr>
      <w:r>
        <w:rPr>
          <w:rFonts w:ascii="宋体" w:hAnsi="宋体" w:cs="Arial" w:hint="eastAsia"/>
          <w:sz w:val="24"/>
        </w:rPr>
        <w:t>本协议受中国法律（为本协议之目的，不包括香港特别行政区、澳门特别行政区和台湾地区法律）管辖并按其解释。</w:t>
      </w:r>
    </w:p>
    <w:p w14:paraId="3863C65C" w14:textId="77777777" w:rsidR="00255B24" w:rsidRDefault="00F94547">
      <w:pPr>
        <w:widowControl/>
        <w:jc w:val="left"/>
        <w:rPr>
          <w:rFonts w:ascii="宋体" w:hAnsi="宋体" w:cs="Arial"/>
          <w:sz w:val="24"/>
        </w:rPr>
      </w:pPr>
      <w:r>
        <w:rPr>
          <w:rFonts w:ascii="宋体" w:hAnsi="宋体" w:cs="Arial"/>
          <w:sz w:val="24"/>
        </w:rPr>
        <w:br w:type="page"/>
      </w:r>
    </w:p>
    <w:p w14:paraId="66BD7A68" w14:textId="77777777" w:rsidR="00255B24" w:rsidRDefault="00F94547">
      <w:pPr>
        <w:pStyle w:val="2"/>
        <w:spacing w:before="0" w:after="0" w:line="360" w:lineRule="auto"/>
        <w:jc w:val="center"/>
        <w:rPr>
          <w:rFonts w:ascii="宋体" w:eastAsia="宋体" w:hAnsi="宋体"/>
          <w:sz w:val="30"/>
        </w:rPr>
      </w:pPr>
      <w:bookmarkStart w:id="102" w:name="_Toc114149857"/>
      <w:r>
        <w:rPr>
          <w:rFonts w:ascii="宋体" w:eastAsia="宋体" w:hAnsi="宋体" w:hint="eastAsia"/>
          <w:sz w:val="30"/>
        </w:rPr>
        <w:lastRenderedPageBreak/>
        <w:t>十九、托管协议的效力</w:t>
      </w:r>
      <w:bookmarkEnd w:id="102"/>
    </w:p>
    <w:p w14:paraId="0E0DD076"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双方对托管协议的效力约定如下：</w:t>
      </w:r>
    </w:p>
    <w:p w14:paraId="4302E8D4"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61AADC10"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72C943DA"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（三）托管协议自生效之日起对托管协议当事人具有同等的法律约束力。</w:t>
      </w:r>
    </w:p>
    <w:p w14:paraId="2E3CED92" w14:textId="77777777" w:rsidR="00255B24" w:rsidRDefault="00F94547">
      <w:pPr>
        <w:adjustRightInd w:val="0"/>
        <w:snapToGrid w:val="0"/>
        <w:spacing w:line="360" w:lineRule="auto"/>
        <w:ind w:firstLineChars="200" w:firstLine="480"/>
        <w:rPr>
          <w:rFonts w:ascii="宋体" w:hAnsi="宋体"/>
          <w:sz w:val="30"/>
          <w:szCs w:val="30"/>
        </w:rPr>
      </w:pPr>
      <w:r>
        <w:rPr>
          <w:rFonts w:ascii="宋体" w:hAnsi="宋体" w:cs="Arial" w:hint="eastAsia"/>
          <w:sz w:val="24"/>
        </w:rPr>
        <w:t>（四）本协议一式六份，协议双方各持二份，上报监管机构二份，每份具有同等的法律效力。</w:t>
      </w:r>
    </w:p>
    <w:p w14:paraId="7272B8C0" w14:textId="77777777" w:rsidR="00255B24" w:rsidRDefault="00F94547">
      <w:pPr>
        <w:widowControl/>
        <w:jc w:val="left"/>
        <w:rPr>
          <w:rFonts w:ascii="宋体" w:hAnsi="宋体" w:cs="Arial"/>
          <w:sz w:val="24"/>
        </w:rPr>
      </w:pPr>
      <w:r>
        <w:rPr>
          <w:rFonts w:ascii="宋体" w:hAnsi="宋体" w:cs="Arial"/>
          <w:sz w:val="24"/>
        </w:rPr>
        <w:br w:type="page"/>
      </w:r>
    </w:p>
    <w:p w14:paraId="36269F3A" w14:textId="77777777" w:rsidR="00255B24" w:rsidRDefault="00F94547">
      <w:pPr>
        <w:pStyle w:val="2"/>
        <w:spacing w:before="0" w:after="0" w:line="360" w:lineRule="auto"/>
        <w:jc w:val="center"/>
        <w:rPr>
          <w:rFonts w:ascii="宋体" w:eastAsia="宋体" w:hAnsi="宋体"/>
          <w:sz w:val="30"/>
        </w:rPr>
      </w:pPr>
      <w:bookmarkStart w:id="103" w:name="_Toc114149858"/>
      <w:r>
        <w:rPr>
          <w:rFonts w:ascii="宋体" w:eastAsia="宋体" w:hAnsi="宋体" w:hint="eastAsia"/>
          <w:sz w:val="30"/>
        </w:rPr>
        <w:lastRenderedPageBreak/>
        <w:t>二十、其他事项</w:t>
      </w:r>
      <w:bookmarkEnd w:id="103"/>
    </w:p>
    <w:p w14:paraId="02B7491E"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如发生有权司法机关依法冻结基金份额持有人的基金份额时，基金管理人应予以配合，承担司法协助义务。</w:t>
      </w:r>
    </w:p>
    <w:p w14:paraId="4C7CBD98"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除本协议有明确定义外，本协议的用语定义适用《基金合同》的约定。本协议未尽事宜，当事人依据《基金合同》、有关法律法规等规定协商办理。</w:t>
      </w:r>
    </w:p>
    <w:p w14:paraId="688244D0" w14:textId="77777777" w:rsidR="00255B24" w:rsidRDefault="00F94547">
      <w:pPr>
        <w:widowControl/>
        <w:jc w:val="left"/>
        <w:rPr>
          <w:rFonts w:ascii="宋体" w:hAnsi="宋体"/>
          <w:b/>
          <w:bCs/>
        </w:rPr>
      </w:pPr>
      <w:r>
        <w:rPr>
          <w:rFonts w:ascii="宋体" w:hAnsi="宋体"/>
          <w:b/>
          <w:bCs/>
        </w:rPr>
        <w:br w:type="page"/>
      </w:r>
    </w:p>
    <w:p w14:paraId="6896D32D" w14:textId="77777777" w:rsidR="00255B24" w:rsidRDefault="00F94547">
      <w:pPr>
        <w:pStyle w:val="2"/>
        <w:spacing w:before="0" w:after="0" w:line="360" w:lineRule="auto"/>
        <w:jc w:val="center"/>
        <w:rPr>
          <w:rFonts w:ascii="宋体" w:eastAsia="宋体" w:hAnsi="宋体"/>
          <w:sz w:val="30"/>
        </w:rPr>
      </w:pPr>
      <w:bookmarkStart w:id="104" w:name="_Toc114149859"/>
      <w:r>
        <w:rPr>
          <w:rFonts w:ascii="宋体" w:eastAsia="宋体" w:hAnsi="宋体" w:hint="eastAsia"/>
          <w:sz w:val="30"/>
        </w:rPr>
        <w:lastRenderedPageBreak/>
        <w:t>二十一、托管协议的签订</w:t>
      </w:r>
      <w:bookmarkEnd w:id="104"/>
    </w:p>
    <w:p w14:paraId="7D304999" w14:textId="77777777" w:rsidR="00255B24" w:rsidRDefault="00F94547">
      <w:pPr>
        <w:adjustRightInd w:val="0"/>
        <w:snapToGrid w:val="0"/>
        <w:spacing w:line="360" w:lineRule="auto"/>
        <w:ind w:firstLineChars="200" w:firstLine="480"/>
        <w:rPr>
          <w:rFonts w:ascii="宋体" w:hAnsi="宋体" w:cs="Arial"/>
          <w:sz w:val="24"/>
        </w:rPr>
      </w:pPr>
      <w:r>
        <w:rPr>
          <w:rFonts w:ascii="宋体" w:hAnsi="宋体" w:cs="Arial" w:hint="eastAsia"/>
          <w:sz w:val="24"/>
        </w:rPr>
        <w:t>本协议双方法定代表人或授权代表签字或盖章、签订地、签订日</w:t>
      </w:r>
    </w:p>
    <w:p w14:paraId="187E6398" w14:textId="77777777" w:rsidR="00255B24" w:rsidRDefault="00255B24">
      <w:pPr>
        <w:adjustRightInd w:val="0"/>
        <w:snapToGrid w:val="0"/>
        <w:spacing w:line="360" w:lineRule="auto"/>
        <w:ind w:firstLineChars="200" w:firstLine="480"/>
        <w:rPr>
          <w:rFonts w:ascii="宋体" w:hAnsi="宋体" w:cs="Arial"/>
          <w:sz w:val="24"/>
        </w:rPr>
        <w:sectPr w:rsidR="00255B24" w:rsidSect="001E71B9">
          <w:headerReference w:type="default" r:id="rId9"/>
          <w:footerReference w:type="default" r:id="rId10"/>
          <w:pgSz w:w="11906" w:h="16838"/>
          <w:pgMar w:top="1418" w:right="1701" w:bottom="1418" w:left="1701" w:header="851" w:footer="992" w:gutter="0"/>
          <w:pgNumType w:start="1"/>
          <w:cols w:space="720"/>
          <w:docGrid w:type="lines" w:linePitch="312"/>
        </w:sectPr>
      </w:pPr>
    </w:p>
    <w:p w14:paraId="43BF8F11" w14:textId="627D952D" w:rsidR="00255B24" w:rsidRDefault="00F94547">
      <w:pPr>
        <w:spacing w:line="360" w:lineRule="auto"/>
        <w:ind w:right="26"/>
        <w:rPr>
          <w:rFonts w:ascii="宋体" w:hAnsi="宋体"/>
          <w:sz w:val="24"/>
        </w:rPr>
      </w:pPr>
      <w:r>
        <w:rPr>
          <w:rFonts w:ascii="宋体" w:hAnsi="宋体" w:hint="eastAsia"/>
          <w:sz w:val="24"/>
        </w:rPr>
        <w:lastRenderedPageBreak/>
        <w:t>本页无正文，为《安信数字经济股票型发起式证券投资基金托管协议》的签字盖章页。</w:t>
      </w:r>
    </w:p>
    <w:p w14:paraId="26E058A4" w14:textId="77777777" w:rsidR="00255B24" w:rsidRDefault="00255B24">
      <w:pPr>
        <w:spacing w:line="360" w:lineRule="auto"/>
        <w:rPr>
          <w:rFonts w:ascii="宋体" w:hAnsi="宋体"/>
          <w:sz w:val="24"/>
        </w:rPr>
      </w:pPr>
    </w:p>
    <w:p w14:paraId="07B560C6" w14:textId="77777777" w:rsidR="00255B24" w:rsidRDefault="00255B24">
      <w:pPr>
        <w:spacing w:line="360" w:lineRule="auto"/>
        <w:rPr>
          <w:rFonts w:ascii="宋体" w:hAnsi="宋体"/>
          <w:sz w:val="24"/>
        </w:rPr>
      </w:pPr>
    </w:p>
    <w:p w14:paraId="544E538F" w14:textId="77777777" w:rsidR="00255B24" w:rsidRDefault="00255B24">
      <w:pPr>
        <w:spacing w:line="360" w:lineRule="auto"/>
        <w:rPr>
          <w:rFonts w:ascii="宋体" w:hAnsi="宋体"/>
          <w:sz w:val="24"/>
        </w:rPr>
      </w:pPr>
    </w:p>
    <w:p w14:paraId="5BE887AA" w14:textId="77777777" w:rsidR="00255B24" w:rsidRDefault="00F94547">
      <w:pPr>
        <w:spacing w:line="360" w:lineRule="auto"/>
        <w:ind w:right="26"/>
        <w:rPr>
          <w:rFonts w:ascii="宋体" w:hAnsi="宋体"/>
          <w:sz w:val="24"/>
        </w:rPr>
      </w:pPr>
      <w:r>
        <w:rPr>
          <w:rFonts w:ascii="宋体" w:hAnsi="宋体" w:hint="eastAsia"/>
          <w:sz w:val="24"/>
        </w:rPr>
        <w:t>基金管理人：安信基金管理有限责任公司（盖章）</w:t>
      </w:r>
    </w:p>
    <w:p w14:paraId="02A9621F" w14:textId="77777777" w:rsidR="00255B24" w:rsidRDefault="00255B24">
      <w:pPr>
        <w:spacing w:line="360" w:lineRule="auto"/>
        <w:ind w:right="26"/>
        <w:rPr>
          <w:rFonts w:ascii="宋体" w:hAnsi="宋体"/>
          <w:sz w:val="24"/>
        </w:rPr>
      </w:pPr>
    </w:p>
    <w:p w14:paraId="3725FF2D" w14:textId="77777777" w:rsidR="00255B24" w:rsidRDefault="00255B24">
      <w:pPr>
        <w:spacing w:line="360" w:lineRule="auto"/>
        <w:ind w:right="26"/>
        <w:rPr>
          <w:rFonts w:ascii="宋体" w:hAnsi="宋体"/>
          <w:sz w:val="24"/>
        </w:rPr>
      </w:pPr>
    </w:p>
    <w:p w14:paraId="47BB38DE" w14:textId="77777777" w:rsidR="00255B24" w:rsidRDefault="00255B24">
      <w:pPr>
        <w:spacing w:line="360" w:lineRule="auto"/>
        <w:ind w:right="26"/>
        <w:rPr>
          <w:rFonts w:ascii="宋体" w:hAnsi="宋体"/>
          <w:sz w:val="24"/>
        </w:rPr>
      </w:pPr>
    </w:p>
    <w:p w14:paraId="74816D1E" w14:textId="77777777" w:rsidR="00255B24" w:rsidRDefault="00255B24">
      <w:pPr>
        <w:spacing w:line="360" w:lineRule="auto"/>
        <w:ind w:right="26"/>
        <w:rPr>
          <w:rFonts w:ascii="宋体" w:hAnsi="宋体"/>
          <w:sz w:val="24"/>
        </w:rPr>
      </w:pPr>
    </w:p>
    <w:p w14:paraId="24441B40" w14:textId="77777777" w:rsidR="00255B24" w:rsidRDefault="00F94547">
      <w:pPr>
        <w:spacing w:line="360" w:lineRule="auto"/>
        <w:ind w:right="26"/>
        <w:rPr>
          <w:rFonts w:ascii="宋体" w:hAnsi="宋体"/>
          <w:sz w:val="24"/>
        </w:rPr>
      </w:pPr>
      <w:r>
        <w:rPr>
          <w:rFonts w:ascii="宋体" w:hAnsi="宋体" w:hint="eastAsia"/>
          <w:sz w:val="24"/>
        </w:rPr>
        <w:t xml:space="preserve">法定代表人或授权代表：                   </w:t>
      </w:r>
    </w:p>
    <w:p w14:paraId="63D629C2" w14:textId="77777777" w:rsidR="00255B24" w:rsidRDefault="00255B24">
      <w:pPr>
        <w:spacing w:line="360" w:lineRule="auto"/>
        <w:ind w:right="26"/>
        <w:rPr>
          <w:rFonts w:ascii="宋体" w:hAnsi="宋体"/>
          <w:sz w:val="24"/>
        </w:rPr>
      </w:pPr>
    </w:p>
    <w:p w14:paraId="2A0CEA91" w14:textId="77777777" w:rsidR="00255B24" w:rsidRDefault="00F94547">
      <w:pPr>
        <w:spacing w:line="360" w:lineRule="auto"/>
        <w:ind w:right="26"/>
        <w:rPr>
          <w:rFonts w:ascii="宋体" w:hAnsi="宋体"/>
          <w:b/>
          <w:sz w:val="24"/>
          <w:szCs w:val="28"/>
        </w:rPr>
      </w:pPr>
      <w:r>
        <w:rPr>
          <w:rFonts w:ascii="宋体" w:hAnsi="宋体" w:hint="eastAsia"/>
          <w:b/>
          <w:sz w:val="24"/>
          <w:szCs w:val="28"/>
        </w:rPr>
        <w:t xml:space="preserve">签订地点： </w:t>
      </w:r>
    </w:p>
    <w:p w14:paraId="4C8F9684" w14:textId="77777777" w:rsidR="00255B24" w:rsidRDefault="00255B24">
      <w:pPr>
        <w:spacing w:line="360" w:lineRule="auto"/>
        <w:ind w:right="26"/>
        <w:rPr>
          <w:rFonts w:ascii="宋体" w:hAnsi="宋体"/>
          <w:sz w:val="24"/>
        </w:rPr>
      </w:pPr>
    </w:p>
    <w:p w14:paraId="3B8E17A0" w14:textId="77777777" w:rsidR="00255B24" w:rsidRDefault="00255B24">
      <w:pPr>
        <w:spacing w:line="360" w:lineRule="auto"/>
        <w:ind w:right="26"/>
        <w:rPr>
          <w:rFonts w:ascii="宋体" w:hAnsi="宋体"/>
          <w:sz w:val="24"/>
        </w:rPr>
      </w:pPr>
    </w:p>
    <w:p w14:paraId="552D2E83" w14:textId="77777777" w:rsidR="00255B24" w:rsidRDefault="00255B24">
      <w:pPr>
        <w:spacing w:line="360" w:lineRule="auto"/>
        <w:ind w:right="26"/>
        <w:rPr>
          <w:rFonts w:ascii="宋体" w:hAnsi="宋体"/>
          <w:sz w:val="24"/>
        </w:rPr>
      </w:pPr>
    </w:p>
    <w:p w14:paraId="415E4C2E" w14:textId="77777777" w:rsidR="00255B24" w:rsidRDefault="00255B24">
      <w:pPr>
        <w:spacing w:line="360" w:lineRule="auto"/>
        <w:ind w:right="26"/>
        <w:rPr>
          <w:rFonts w:ascii="宋体" w:hAnsi="宋体"/>
          <w:sz w:val="24"/>
        </w:rPr>
      </w:pPr>
    </w:p>
    <w:p w14:paraId="599D4C76" w14:textId="77777777" w:rsidR="00255B24" w:rsidRDefault="00F94547">
      <w:pPr>
        <w:spacing w:line="360" w:lineRule="auto"/>
        <w:ind w:right="26"/>
        <w:rPr>
          <w:rFonts w:ascii="宋体" w:hAnsi="宋体"/>
          <w:sz w:val="24"/>
        </w:rPr>
      </w:pPr>
      <w:r>
        <w:rPr>
          <w:rFonts w:ascii="宋体" w:hAnsi="宋体" w:hint="eastAsia"/>
          <w:sz w:val="24"/>
        </w:rPr>
        <w:t>基金托管人：中国建设银行股份有限公司（盖章）</w:t>
      </w:r>
    </w:p>
    <w:p w14:paraId="028B3D36" w14:textId="77777777" w:rsidR="00255B24" w:rsidRDefault="00255B24">
      <w:pPr>
        <w:spacing w:line="360" w:lineRule="auto"/>
        <w:ind w:right="26"/>
        <w:rPr>
          <w:rFonts w:ascii="宋体" w:hAnsi="宋体"/>
          <w:sz w:val="24"/>
        </w:rPr>
      </w:pPr>
    </w:p>
    <w:p w14:paraId="32B7FB23" w14:textId="77777777" w:rsidR="00255B24" w:rsidRDefault="00255B24">
      <w:pPr>
        <w:spacing w:line="360" w:lineRule="auto"/>
        <w:ind w:right="26"/>
        <w:rPr>
          <w:rFonts w:ascii="宋体" w:hAnsi="宋体"/>
          <w:sz w:val="24"/>
        </w:rPr>
      </w:pPr>
    </w:p>
    <w:p w14:paraId="572A423C" w14:textId="77777777" w:rsidR="00255B24" w:rsidRDefault="00255B24">
      <w:pPr>
        <w:spacing w:line="360" w:lineRule="auto"/>
        <w:ind w:right="26"/>
        <w:rPr>
          <w:rFonts w:ascii="宋体" w:hAnsi="宋体"/>
          <w:sz w:val="24"/>
        </w:rPr>
      </w:pPr>
    </w:p>
    <w:p w14:paraId="0B3BE472" w14:textId="77777777" w:rsidR="00255B24" w:rsidRDefault="00255B24">
      <w:pPr>
        <w:spacing w:line="360" w:lineRule="auto"/>
        <w:ind w:right="26"/>
        <w:rPr>
          <w:rFonts w:ascii="宋体" w:hAnsi="宋体"/>
          <w:sz w:val="24"/>
        </w:rPr>
      </w:pPr>
    </w:p>
    <w:p w14:paraId="13B7AB6E" w14:textId="77777777" w:rsidR="00255B24" w:rsidRDefault="00F94547">
      <w:pPr>
        <w:spacing w:line="360" w:lineRule="auto"/>
        <w:ind w:right="26"/>
        <w:rPr>
          <w:rFonts w:ascii="宋体" w:hAnsi="宋体"/>
          <w:sz w:val="24"/>
        </w:rPr>
      </w:pPr>
      <w:r>
        <w:rPr>
          <w:rFonts w:ascii="宋体" w:hAnsi="宋体" w:hint="eastAsia"/>
          <w:sz w:val="24"/>
        </w:rPr>
        <w:t xml:space="preserve">法定代表人或授权代表：                   </w:t>
      </w:r>
    </w:p>
    <w:p w14:paraId="08384F6A" w14:textId="77777777" w:rsidR="00255B24" w:rsidRDefault="00255B24">
      <w:pPr>
        <w:spacing w:line="360" w:lineRule="auto"/>
        <w:ind w:right="26"/>
        <w:rPr>
          <w:rFonts w:ascii="宋体" w:hAnsi="宋体"/>
          <w:b/>
          <w:sz w:val="24"/>
          <w:szCs w:val="28"/>
        </w:rPr>
      </w:pPr>
    </w:p>
    <w:p w14:paraId="734B4EAD" w14:textId="77777777" w:rsidR="00255B24" w:rsidRDefault="00255B24">
      <w:pPr>
        <w:spacing w:line="360" w:lineRule="auto"/>
        <w:ind w:right="26"/>
        <w:rPr>
          <w:rFonts w:ascii="宋体" w:hAnsi="宋体"/>
          <w:b/>
          <w:sz w:val="24"/>
          <w:szCs w:val="28"/>
        </w:rPr>
      </w:pPr>
    </w:p>
    <w:p w14:paraId="2B163364" w14:textId="77777777" w:rsidR="00255B24" w:rsidRDefault="00255B24">
      <w:pPr>
        <w:spacing w:line="360" w:lineRule="auto"/>
        <w:ind w:right="26"/>
        <w:rPr>
          <w:rFonts w:ascii="宋体" w:hAnsi="宋体"/>
          <w:b/>
          <w:sz w:val="24"/>
          <w:szCs w:val="28"/>
        </w:rPr>
      </w:pPr>
    </w:p>
    <w:p w14:paraId="0DBE5694" w14:textId="77777777" w:rsidR="00255B24" w:rsidRDefault="00F94547">
      <w:pPr>
        <w:spacing w:line="360" w:lineRule="auto"/>
        <w:ind w:right="26"/>
        <w:rPr>
          <w:rFonts w:ascii="宋体" w:hAnsi="宋体"/>
          <w:b/>
          <w:sz w:val="24"/>
          <w:szCs w:val="28"/>
        </w:rPr>
      </w:pPr>
      <w:r>
        <w:rPr>
          <w:rFonts w:ascii="宋体" w:hAnsi="宋体" w:hint="eastAsia"/>
          <w:b/>
          <w:sz w:val="24"/>
          <w:szCs w:val="28"/>
        </w:rPr>
        <w:t>签订地点：北京</w:t>
      </w:r>
    </w:p>
    <w:p w14:paraId="5A0C17AC" w14:textId="77777777" w:rsidR="00255B24" w:rsidRDefault="00F94547">
      <w:pPr>
        <w:spacing w:line="360" w:lineRule="auto"/>
        <w:rPr>
          <w:rFonts w:ascii="宋体" w:hAnsi="宋体"/>
        </w:rPr>
      </w:pPr>
      <w:r>
        <w:rPr>
          <w:rFonts w:ascii="宋体" w:hAnsi="宋体" w:hint="eastAsia"/>
          <w:b/>
          <w:sz w:val="24"/>
          <w:szCs w:val="28"/>
        </w:rPr>
        <w:t>签 订 日：二零二</w:t>
      </w:r>
      <w:r>
        <w:rPr>
          <w:rFonts w:ascii="宋体" w:hAnsi="宋体" w:cs="宋体" w:hint="eastAsia"/>
          <w:b/>
          <w:sz w:val="24"/>
          <w:szCs w:val="28"/>
        </w:rPr>
        <w:t xml:space="preserve"> </w:t>
      </w:r>
      <w:r>
        <w:rPr>
          <w:rFonts w:ascii="宋体" w:hAnsi="宋体" w:hint="eastAsia"/>
          <w:b/>
          <w:sz w:val="24"/>
          <w:szCs w:val="28"/>
        </w:rPr>
        <w:t>年</w:t>
      </w:r>
      <w:r>
        <w:rPr>
          <w:rFonts w:ascii="宋体" w:hAnsi="宋体" w:cs="宋体" w:hint="eastAsia"/>
          <w:b/>
          <w:sz w:val="24"/>
          <w:szCs w:val="28"/>
        </w:rPr>
        <w:t xml:space="preserve"> </w:t>
      </w:r>
      <w:r>
        <w:rPr>
          <w:rFonts w:ascii="宋体" w:hAnsi="宋体" w:hint="eastAsia"/>
          <w:b/>
          <w:sz w:val="24"/>
          <w:szCs w:val="28"/>
        </w:rPr>
        <w:t>月</w:t>
      </w:r>
      <w:r>
        <w:rPr>
          <w:rFonts w:ascii="宋体" w:hAnsi="宋体" w:cs="宋体" w:hint="eastAsia"/>
          <w:b/>
          <w:sz w:val="24"/>
          <w:szCs w:val="28"/>
        </w:rPr>
        <w:t xml:space="preserve"> </w:t>
      </w:r>
      <w:r>
        <w:rPr>
          <w:rFonts w:ascii="宋体" w:hAnsi="宋体" w:hint="eastAsia"/>
          <w:b/>
          <w:sz w:val="24"/>
          <w:szCs w:val="28"/>
        </w:rPr>
        <w:t>日</w:t>
      </w:r>
    </w:p>
    <w:p w14:paraId="1CF50C42" w14:textId="77777777" w:rsidR="00255B24" w:rsidRDefault="00255B24"/>
    <w:sectPr w:rsidR="00255B24">
      <w:headerReference w:type="default" r:id="rId11"/>
      <w:footerReference w:type="default" r:id="rId12"/>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2E65" w14:textId="77777777" w:rsidR="00752BEF" w:rsidRDefault="00752BEF">
      <w:r>
        <w:separator/>
      </w:r>
    </w:p>
  </w:endnote>
  <w:endnote w:type="continuationSeparator" w:id="0">
    <w:p w14:paraId="2E8761CB" w14:textId="77777777" w:rsidR="00752BEF" w:rsidRDefault="0075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Malgun Gothic Semilight"/>
    <w:charset w:val="86"/>
    <w:family w:val="roman"/>
    <w:pitch w:val="default"/>
    <w:sig w:usb0="00000000" w:usb1="00000000" w:usb2="00000000" w:usb3="00000000" w:csb0="00040001" w:csb1="00000000"/>
  </w:font>
  <w:font w:name="Arial Unicode MS">
    <w:altName w:val="等线"/>
    <w:panose1 w:val="020B0604020202020204"/>
    <w:charset w:val="86"/>
    <w:family w:val="auto"/>
    <w:pitch w:val="default"/>
    <w:sig w:usb0="00000000" w:usb1="00000000" w:usb2="0000003F" w:usb3="00000000" w:csb0="603F01FF" w:csb1="FFFF0000"/>
  </w:font>
  <w:font w:name="楷体_GB2312">
    <w:altName w:val="楷体"/>
    <w:charset w:val="86"/>
    <w:family w:val="modern"/>
    <w:pitch w:val="default"/>
    <w:sig w:usb0="00000000" w:usb1="00000000" w:usb2="00000010" w:usb3="00000000" w:csb0="00040000" w:csb1="00000000"/>
  </w:font>
  <w:font w:name="彩虹粗仿宋">
    <w:altName w:val="Malgun Gothic"/>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EC7" w14:textId="77777777" w:rsidR="00255B24" w:rsidRDefault="00F94547">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055ACC5" w14:textId="77777777" w:rsidR="00255B24" w:rsidRDefault="00255B2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D2E1" w14:textId="77777777" w:rsidR="00255B24" w:rsidRDefault="00F94547">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57</w:t>
    </w:r>
    <w:r>
      <w:rPr>
        <w:rStyle w:val="af4"/>
      </w:rPr>
      <w:fldChar w:fldCharType="end"/>
    </w:r>
  </w:p>
  <w:p w14:paraId="2D16D85B" w14:textId="77777777" w:rsidR="00255B24" w:rsidRDefault="00255B2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364C" w14:textId="77777777" w:rsidR="007B21C2" w:rsidRDefault="007B21C2">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57</w:t>
    </w:r>
    <w:r>
      <w:rPr>
        <w:rStyle w:val="af4"/>
      </w:rPr>
      <w:fldChar w:fldCharType="end"/>
    </w:r>
  </w:p>
  <w:p w14:paraId="7E2FACFD" w14:textId="77777777" w:rsidR="007B21C2" w:rsidRDefault="007B21C2">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E3CD" w14:textId="77777777" w:rsidR="00255B24" w:rsidRDefault="00255B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B3DE" w14:textId="77777777" w:rsidR="00752BEF" w:rsidRDefault="00752BEF">
      <w:r>
        <w:separator/>
      </w:r>
    </w:p>
  </w:footnote>
  <w:footnote w:type="continuationSeparator" w:id="0">
    <w:p w14:paraId="08C732E8" w14:textId="77777777" w:rsidR="00752BEF" w:rsidRDefault="0075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1871" w14:textId="77777777" w:rsidR="00255B24" w:rsidRDefault="00255B24">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A354" w14:textId="77777777" w:rsidR="00255B24" w:rsidRDefault="00255B24">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dhMGUyMzkxNGYwNTljNGVkNDU5N2ZjM2ZkOTVmOWUifQ=="/>
  </w:docVars>
  <w:rsids>
    <w:rsidRoot w:val="00C2591C"/>
    <w:rsid w:val="00004C17"/>
    <w:rsid w:val="000148EA"/>
    <w:rsid w:val="00035BD9"/>
    <w:rsid w:val="00042AFA"/>
    <w:rsid w:val="00063009"/>
    <w:rsid w:val="0008650D"/>
    <w:rsid w:val="000A3D6D"/>
    <w:rsid w:val="000C42E9"/>
    <w:rsid w:val="000D4C45"/>
    <w:rsid w:val="000E6C9F"/>
    <w:rsid w:val="000F5813"/>
    <w:rsid w:val="00103D82"/>
    <w:rsid w:val="00104914"/>
    <w:rsid w:val="001063DC"/>
    <w:rsid w:val="00114EE7"/>
    <w:rsid w:val="00140070"/>
    <w:rsid w:val="00162261"/>
    <w:rsid w:val="00180619"/>
    <w:rsid w:val="001915C6"/>
    <w:rsid w:val="001946F4"/>
    <w:rsid w:val="0019611C"/>
    <w:rsid w:val="001C36D3"/>
    <w:rsid w:val="001C3FAA"/>
    <w:rsid w:val="001D1871"/>
    <w:rsid w:val="001E3D64"/>
    <w:rsid w:val="001E71B9"/>
    <w:rsid w:val="0021291F"/>
    <w:rsid w:val="0023391B"/>
    <w:rsid w:val="0023617E"/>
    <w:rsid w:val="00255B24"/>
    <w:rsid w:val="00263ED3"/>
    <w:rsid w:val="002703FD"/>
    <w:rsid w:val="002817A5"/>
    <w:rsid w:val="00291B3B"/>
    <w:rsid w:val="002934E6"/>
    <w:rsid w:val="002A111C"/>
    <w:rsid w:val="002A4AC9"/>
    <w:rsid w:val="002B0FB7"/>
    <w:rsid w:val="002B7472"/>
    <w:rsid w:val="002C3985"/>
    <w:rsid w:val="002D132F"/>
    <w:rsid w:val="002E3FD9"/>
    <w:rsid w:val="002F1361"/>
    <w:rsid w:val="00300B46"/>
    <w:rsid w:val="00321903"/>
    <w:rsid w:val="003240B1"/>
    <w:rsid w:val="003466F0"/>
    <w:rsid w:val="00351DC3"/>
    <w:rsid w:val="003579FE"/>
    <w:rsid w:val="00377235"/>
    <w:rsid w:val="00381E90"/>
    <w:rsid w:val="003904D5"/>
    <w:rsid w:val="003A424D"/>
    <w:rsid w:val="003A6B74"/>
    <w:rsid w:val="003A6CE7"/>
    <w:rsid w:val="003B57D9"/>
    <w:rsid w:val="003B683C"/>
    <w:rsid w:val="003E4317"/>
    <w:rsid w:val="003F3928"/>
    <w:rsid w:val="003F6D6E"/>
    <w:rsid w:val="0040277E"/>
    <w:rsid w:val="00414704"/>
    <w:rsid w:val="00421525"/>
    <w:rsid w:val="0042448E"/>
    <w:rsid w:val="00445010"/>
    <w:rsid w:val="00464970"/>
    <w:rsid w:val="00466314"/>
    <w:rsid w:val="004A31B0"/>
    <w:rsid w:val="004B11B1"/>
    <w:rsid w:val="004C6400"/>
    <w:rsid w:val="005117C3"/>
    <w:rsid w:val="0051269B"/>
    <w:rsid w:val="00543725"/>
    <w:rsid w:val="005453C3"/>
    <w:rsid w:val="00547E27"/>
    <w:rsid w:val="00564D1D"/>
    <w:rsid w:val="005671EF"/>
    <w:rsid w:val="005721FB"/>
    <w:rsid w:val="00582061"/>
    <w:rsid w:val="00582C39"/>
    <w:rsid w:val="0058338C"/>
    <w:rsid w:val="00584636"/>
    <w:rsid w:val="00585826"/>
    <w:rsid w:val="00587C72"/>
    <w:rsid w:val="005D7BE3"/>
    <w:rsid w:val="00630D25"/>
    <w:rsid w:val="00632480"/>
    <w:rsid w:val="0063355C"/>
    <w:rsid w:val="006420F1"/>
    <w:rsid w:val="00651907"/>
    <w:rsid w:val="00651E5F"/>
    <w:rsid w:val="00661F0D"/>
    <w:rsid w:val="006660F5"/>
    <w:rsid w:val="00680F6B"/>
    <w:rsid w:val="006A3D32"/>
    <w:rsid w:val="006A75F1"/>
    <w:rsid w:val="006A7B27"/>
    <w:rsid w:val="006B5D50"/>
    <w:rsid w:val="006B6D26"/>
    <w:rsid w:val="006C2BA5"/>
    <w:rsid w:val="007011D7"/>
    <w:rsid w:val="00703471"/>
    <w:rsid w:val="00711D5C"/>
    <w:rsid w:val="00713065"/>
    <w:rsid w:val="00717307"/>
    <w:rsid w:val="007272F9"/>
    <w:rsid w:val="007430BE"/>
    <w:rsid w:val="00752BEF"/>
    <w:rsid w:val="00754A7C"/>
    <w:rsid w:val="00762044"/>
    <w:rsid w:val="00770D62"/>
    <w:rsid w:val="00773313"/>
    <w:rsid w:val="007772D2"/>
    <w:rsid w:val="0077770F"/>
    <w:rsid w:val="00781F37"/>
    <w:rsid w:val="007853DE"/>
    <w:rsid w:val="007902E7"/>
    <w:rsid w:val="007932BF"/>
    <w:rsid w:val="00795A4E"/>
    <w:rsid w:val="007B21C2"/>
    <w:rsid w:val="007B2509"/>
    <w:rsid w:val="007C2884"/>
    <w:rsid w:val="007C5B15"/>
    <w:rsid w:val="007D292D"/>
    <w:rsid w:val="007D3C5A"/>
    <w:rsid w:val="007E0E31"/>
    <w:rsid w:val="007F474E"/>
    <w:rsid w:val="00800213"/>
    <w:rsid w:val="0080051E"/>
    <w:rsid w:val="00806E47"/>
    <w:rsid w:val="0082123C"/>
    <w:rsid w:val="0082370E"/>
    <w:rsid w:val="00832CA5"/>
    <w:rsid w:val="00833E59"/>
    <w:rsid w:val="00840A83"/>
    <w:rsid w:val="00845FB6"/>
    <w:rsid w:val="0086190D"/>
    <w:rsid w:val="00872F3E"/>
    <w:rsid w:val="0088368B"/>
    <w:rsid w:val="00894EB0"/>
    <w:rsid w:val="00895092"/>
    <w:rsid w:val="008A0EB9"/>
    <w:rsid w:val="008B14F2"/>
    <w:rsid w:val="008B5385"/>
    <w:rsid w:val="008C685F"/>
    <w:rsid w:val="008C69CC"/>
    <w:rsid w:val="008E6F0E"/>
    <w:rsid w:val="00903721"/>
    <w:rsid w:val="0091414C"/>
    <w:rsid w:val="00925103"/>
    <w:rsid w:val="00930E01"/>
    <w:rsid w:val="00942741"/>
    <w:rsid w:val="00943B10"/>
    <w:rsid w:val="0096563A"/>
    <w:rsid w:val="009771AB"/>
    <w:rsid w:val="00983C8B"/>
    <w:rsid w:val="009920CE"/>
    <w:rsid w:val="00995235"/>
    <w:rsid w:val="009A491E"/>
    <w:rsid w:val="009B5C34"/>
    <w:rsid w:val="009C45FA"/>
    <w:rsid w:val="009D1B7E"/>
    <w:rsid w:val="009D4BB4"/>
    <w:rsid w:val="009E0A89"/>
    <w:rsid w:val="009F524C"/>
    <w:rsid w:val="009F62FB"/>
    <w:rsid w:val="00A309A5"/>
    <w:rsid w:val="00A51BF5"/>
    <w:rsid w:val="00A612B3"/>
    <w:rsid w:val="00A83BE0"/>
    <w:rsid w:val="00A92FA7"/>
    <w:rsid w:val="00A93790"/>
    <w:rsid w:val="00AA08A1"/>
    <w:rsid w:val="00AA28A7"/>
    <w:rsid w:val="00AA31D5"/>
    <w:rsid w:val="00AA5965"/>
    <w:rsid w:val="00AC1B7B"/>
    <w:rsid w:val="00AE4DA0"/>
    <w:rsid w:val="00AE6241"/>
    <w:rsid w:val="00AF61A2"/>
    <w:rsid w:val="00B14818"/>
    <w:rsid w:val="00B24356"/>
    <w:rsid w:val="00B35BF5"/>
    <w:rsid w:val="00B36C5C"/>
    <w:rsid w:val="00B4788B"/>
    <w:rsid w:val="00B94AAD"/>
    <w:rsid w:val="00BA5FE7"/>
    <w:rsid w:val="00BC496B"/>
    <w:rsid w:val="00BE536E"/>
    <w:rsid w:val="00BF7CF6"/>
    <w:rsid w:val="00C16817"/>
    <w:rsid w:val="00C2591C"/>
    <w:rsid w:val="00C45324"/>
    <w:rsid w:val="00C54ACF"/>
    <w:rsid w:val="00C972BD"/>
    <w:rsid w:val="00CA0BF7"/>
    <w:rsid w:val="00CC15AE"/>
    <w:rsid w:val="00CD1CB2"/>
    <w:rsid w:val="00CD7F8C"/>
    <w:rsid w:val="00CE1712"/>
    <w:rsid w:val="00D0264E"/>
    <w:rsid w:val="00D0347B"/>
    <w:rsid w:val="00D11DFC"/>
    <w:rsid w:val="00D128E2"/>
    <w:rsid w:val="00D209D0"/>
    <w:rsid w:val="00D24237"/>
    <w:rsid w:val="00D36918"/>
    <w:rsid w:val="00D579DF"/>
    <w:rsid w:val="00D64E3D"/>
    <w:rsid w:val="00D66ED8"/>
    <w:rsid w:val="00D750F4"/>
    <w:rsid w:val="00DB5DE3"/>
    <w:rsid w:val="00DD43AF"/>
    <w:rsid w:val="00E15783"/>
    <w:rsid w:val="00E22D18"/>
    <w:rsid w:val="00E316BA"/>
    <w:rsid w:val="00E316BF"/>
    <w:rsid w:val="00E4143C"/>
    <w:rsid w:val="00E45E5D"/>
    <w:rsid w:val="00E479B4"/>
    <w:rsid w:val="00E54254"/>
    <w:rsid w:val="00E60315"/>
    <w:rsid w:val="00E6298F"/>
    <w:rsid w:val="00E67545"/>
    <w:rsid w:val="00E775E3"/>
    <w:rsid w:val="00E81D97"/>
    <w:rsid w:val="00EC1BDA"/>
    <w:rsid w:val="00EC6570"/>
    <w:rsid w:val="00EC68A6"/>
    <w:rsid w:val="00EF5D3E"/>
    <w:rsid w:val="00F07CCC"/>
    <w:rsid w:val="00F15933"/>
    <w:rsid w:val="00F16D97"/>
    <w:rsid w:val="00F24D90"/>
    <w:rsid w:val="00F261B6"/>
    <w:rsid w:val="00F335ED"/>
    <w:rsid w:val="00F36D8C"/>
    <w:rsid w:val="00F61362"/>
    <w:rsid w:val="00F77C2A"/>
    <w:rsid w:val="00F8471A"/>
    <w:rsid w:val="00F94547"/>
    <w:rsid w:val="00FB204A"/>
    <w:rsid w:val="00FB5B69"/>
    <w:rsid w:val="00FC69F6"/>
    <w:rsid w:val="00FF5444"/>
    <w:rsid w:val="11517939"/>
    <w:rsid w:val="15AC067C"/>
    <w:rsid w:val="199155F1"/>
    <w:rsid w:val="1A690A59"/>
    <w:rsid w:val="4A8251F3"/>
    <w:rsid w:val="4F5101BE"/>
    <w:rsid w:val="5A135B03"/>
    <w:rsid w:val="652C1478"/>
    <w:rsid w:val="683908D4"/>
    <w:rsid w:val="6844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FA069"/>
  <w15:docId w15:val="{5A920752-CE66-4AB9-99E5-0F83E5D4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semiHidden="1" w:uiPriority="0"/>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TOC7">
    <w:name w:val="toc 7"/>
    <w:basedOn w:val="a"/>
    <w:next w:val="a"/>
    <w:semiHidden/>
    <w:qFormat/>
    <w:pPr>
      <w:ind w:leftChars="1200" w:left="2520"/>
    </w:pPr>
  </w:style>
  <w:style w:type="paragraph" w:styleId="a4">
    <w:name w:val="annotation text"/>
    <w:basedOn w:val="a"/>
    <w:link w:val="a5"/>
    <w:qFormat/>
    <w:pPr>
      <w:jc w:val="left"/>
    </w:pPr>
  </w:style>
  <w:style w:type="paragraph" w:styleId="a6">
    <w:name w:val="Body Text"/>
    <w:basedOn w:val="a"/>
    <w:link w:val="a7"/>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pPr>
      <w:ind w:leftChars="800" w:left="1680"/>
    </w:pPr>
  </w:style>
  <w:style w:type="paragraph" w:styleId="TOC3">
    <w:name w:val="toc 3"/>
    <w:basedOn w:val="a"/>
    <w:next w:val="a"/>
    <w:semiHidden/>
    <w:pPr>
      <w:ind w:leftChars="400" w:left="840"/>
    </w:pPr>
  </w:style>
  <w:style w:type="paragraph" w:styleId="TOC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
    <w:name w:val="Body Text Indent 3"/>
    <w:basedOn w:val="a"/>
    <w:link w:val="30"/>
    <w:qFormat/>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uiPriority w:val="39"/>
    <w:qFormat/>
    <w:pPr>
      <w:ind w:leftChars="200" w:left="420"/>
    </w:pPr>
  </w:style>
  <w:style w:type="paragraph" w:styleId="TOC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20">
    <w:name w:val="标题 2 字符"/>
    <w:basedOn w:val="a1"/>
    <w:link w:val="2"/>
    <w:qFormat/>
    <w:rPr>
      <w:rFonts w:ascii="Arial" w:eastAsia="黑体" w:hAnsi="Arial" w:cs="Times New Roman"/>
      <w:b/>
      <w:sz w:val="32"/>
      <w:szCs w:val="20"/>
    </w:rPr>
  </w:style>
  <w:style w:type="character" w:customStyle="1" w:styleId="a5">
    <w:name w:val="批注文字 字符"/>
    <w:basedOn w:val="a1"/>
    <w:link w:val="a4"/>
    <w:uiPriority w:val="99"/>
    <w:qFormat/>
    <w:rPr>
      <w:rFonts w:ascii="Times New Roman" w:eastAsia="宋体" w:hAnsi="Times New Roman" w:cs="Times New Roman"/>
      <w:szCs w:val="24"/>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character" w:customStyle="1" w:styleId="af">
    <w:name w:val="页眉 字符"/>
    <w:basedOn w:val="a1"/>
    <w:link w:val="ae"/>
    <w:qFormat/>
    <w:rPr>
      <w:rFonts w:ascii="Times New Roman" w:eastAsia="宋体" w:hAnsi="Times New Roman" w:cs="Times New Roman"/>
      <w:sz w:val="18"/>
      <w:szCs w:val="18"/>
    </w:rPr>
  </w:style>
  <w:style w:type="character" w:customStyle="1" w:styleId="30">
    <w:name w:val="正文文本缩进 3 字符"/>
    <w:basedOn w:val="a1"/>
    <w:link w:val="3"/>
    <w:qFormat/>
    <w:rPr>
      <w:rFonts w:ascii="仿宋_GB2312" w:eastAsia="仿宋_GB2312" w:hAnsi="宋体" w:cs="Arial"/>
      <w:color w:val="000000"/>
      <w:sz w:val="24"/>
      <w:szCs w:val="24"/>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paragraph" w:customStyle="1" w:styleId="1">
    <w:name w:val="修订1"/>
    <w:uiPriority w:val="99"/>
    <w:semiHidden/>
    <w:qFormat/>
    <w:rPr>
      <w:rFonts w:ascii="Times New Roman" w:eastAsia="宋体" w:hAnsi="Times New Roman" w:cs="Times New Roman"/>
      <w:kern w:val="2"/>
      <w:sz w:val="21"/>
      <w:szCs w:val="24"/>
    </w:rPr>
  </w:style>
  <w:style w:type="paragraph" w:customStyle="1" w:styleId="23">
    <w:name w:val="修订2"/>
    <w:hidden/>
    <w:uiPriority w:val="99"/>
    <w:semiHidden/>
    <w:qFormat/>
    <w:rPr>
      <w:rFonts w:ascii="Times New Roman" w:eastAsia="宋体" w:hAnsi="Times New Roman" w:cs="Times New Roman"/>
      <w:kern w:val="2"/>
      <w:sz w:val="21"/>
      <w:szCs w:val="24"/>
    </w:rPr>
  </w:style>
  <w:style w:type="character" w:customStyle="1" w:styleId="Char0">
    <w:name w:val="批注文字 Char"/>
    <w:qFormat/>
    <w:rPr>
      <w:rFonts w:ascii="Times New Roman" w:eastAsia="宋体" w:hAnsi="Times New Roman" w:cs="Times New Roman"/>
      <w:szCs w:val="24"/>
    </w:rPr>
  </w:style>
  <w:style w:type="paragraph" w:customStyle="1" w:styleId="10">
    <w:name w:val="正文1"/>
    <w:qFormat/>
    <w:pPr>
      <w:jc w:val="both"/>
    </w:pPr>
    <w:rPr>
      <w:rFonts w:ascii="等线" w:eastAsia="宋体" w:hAnsi="等线" w:cs="宋体"/>
      <w:kern w:val="2"/>
      <w:sz w:val="21"/>
      <w:szCs w:val="21"/>
    </w:rPr>
  </w:style>
  <w:style w:type="character" w:customStyle="1" w:styleId="15">
    <w:name w:val="15"/>
    <w:basedOn w:val="a1"/>
    <w:qFormat/>
    <w:rPr>
      <w:rFonts w:ascii="等线" w:eastAsia="等线" w:hAnsi="等线" w:hint="eastAsia"/>
    </w:rPr>
  </w:style>
  <w:style w:type="paragraph" w:customStyle="1" w:styleId="31">
    <w:name w:val="修订3"/>
    <w:hidden/>
    <w:uiPriority w:val="99"/>
    <w:semiHidden/>
    <w:rPr>
      <w:rFonts w:ascii="Times New Roman" w:eastAsia="宋体" w:hAnsi="Times New Roman" w:cs="Times New Roman"/>
      <w:kern w:val="2"/>
      <w:sz w:val="21"/>
      <w:szCs w:val="24"/>
    </w:rPr>
  </w:style>
  <w:style w:type="paragraph" w:styleId="af8">
    <w:name w:val="Revision"/>
    <w:hidden/>
    <w:uiPriority w:val="99"/>
    <w:semiHidden/>
    <w:rsid w:val="00B35BF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85100-BA2F-4711-A1A9-0715D93D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5149</Words>
  <Characters>29350</Characters>
  <Application>Microsoft Office Word</Application>
  <DocSecurity>0</DocSecurity>
  <Lines>244</Lines>
  <Paragraphs>68</Paragraphs>
  <ScaleCrop>false</ScaleCrop>
  <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baikn</dc:creator>
  <cp:lastModifiedBy>baikn</cp:lastModifiedBy>
  <cp:revision>24</cp:revision>
  <dcterms:created xsi:type="dcterms:W3CDTF">2022-10-10T02:23:00Z</dcterms:created>
  <dcterms:modified xsi:type="dcterms:W3CDTF">2023-04-06T05:33:00Z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9FEFC932472743E285A7D3E84C901023</vt:lpwstr>
  </property>
</Properties>
</file>