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C732C">
      <w:pPr>
        <w:rPr>
          <w:rFonts w:ascii="宋体" w:cs="宋体"/>
          <w:sz w:val="28"/>
        </w:rPr>
      </w:pPr>
      <w:bookmarkStart w:id="0" w:name="CLAUSE_f6358c5be980417e965aec23a00bcab8"/>
    </w:p>
    <w:p w:rsidR="009C732C">
      <w:pPr>
        <w:jc w:val="center"/>
        <w:rPr>
          <w:rFonts w:ascii="宋体" w:cs="宋体"/>
          <w:b/>
          <w:sz w:val="52"/>
          <w:lang w:eastAsia="zh-CN"/>
        </w:rPr>
      </w:pPr>
      <w:r>
        <w:rPr>
          <w:rFonts w:ascii="宋体" w:cs="宋体" w:hint="eastAsia"/>
          <w:b/>
          <w:sz w:val="52"/>
          <w:highlight w:val="white"/>
          <w:lang w:eastAsia="zh-CN"/>
        </w:rPr>
        <w:t>易方达</w:t>
      </w:r>
      <w:r>
        <w:rPr>
          <w:rFonts w:ascii="宋体" w:cs="宋体"/>
          <w:b/>
          <w:sz w:val="52"/>
          <w:highlight w:val="white"/>
          <w:lang w:eastAsia="zh-CN"/>
        </w:rPr>
        <w:t>基金管理有限公司</w:t>
      </w:r>
    </w:p>
    <w:p w:rsidR="009C732C">
      <w:pPr>
        <w:rPr>
          <w:rFonts w:ascii="宋体" w:cs="宋体"/>
          <w:b/>
          <w:lang w:eastAsia="zh-CN"/>
        </w:rPr>
      </w:pPr>
    </w:p>
    <w:p w:rsidR="009C732C">
      <w:pPr>
        <w:jc w:val="center"/>
        <w:rPr>
          <w:rFonts w:ascii="宋体" w:cs="宋体"/>
          <w:b/>
          <w:sz w:val="48"/>
          <w:lang w:eastAsia="zh-CN"/>
        </w:rPr>
      </w:pPr>
    </w:p>
    <w:p w:rsidR="00FB0F0C">
      <w:pPr>
        <w:jc w:val="center"/>
        <w:rPr>
          <w:rFonts w:ascii="宋体" w:cs="宋体"/>
          <w:b/>
          <w:sz w:val="48"/>
          <w:lang w:eastAsia="zh-CN"/>
        </w:rPr>
      </w:pPr>
      <w:bookmarkStart w:id="1" w:name="_Toc139991725"/>
      <w:bookmarkStart w:id="2" w:name="_Toc139992300"/>
      <w:bookmarkStart w:id="3" w:name="_Toc123112223"/>
      <w:bookmarkStart w:id="4" w:name="_Toc123701382"/>
      <w:bookmarkStart w:id="5" w:name="_Toc123112262"/>
      <w:r>
        <w:rPr>
          <w:rFonts w:ascii="宋体" w:cs="宋体" w:hint="eastAsia"/>
          <w:b/>
          <w:sz w:val="48"/>
          <w:lang w:eastAsia="zh-CN"/>
        </w:rPr>
        <w:t>易方达国证机器人产业交易型开放式指数证券投资基金发起式联接基金</w:t>
      </w:r>
      <w:bookmarkEnd w:id="1"/>
      <w:bookmarkEnd w:id="2"/>
      <w:bookmarkEnd w:id="3"/>
      <w:bookmarkEnd w:id="4"/>
      <w:bookmarkEnd w:id="5"/>
    </w:p>
    <w:p w:rsidR="009C732C">
      <w:pPr>
        <w:jc w:val="center"/>
        <w:rPr>
          <w:rFonts w:ascii="宋体" w:cs="宋体"/>
          <w:b/>
          <w:sz w:val="48"/>
          <w:lang w:eastAsia="zh-CN"/>
        </w:rPr>
      </w:pPr>
      <w:r>
        <w:rPr>
          <w:rFonts w:ascii="宋体" w:cs="宋体" w:hint="eastAsia"/>
          <w:b/>
          <w:sz w:val="48"/>
          <w:highlight w:val="white"/>
          <w:lang w:eastAsia="zh-CN"/>
        </w:rPr>
        <w:t>基金合同</w:t>
      </w:r>
    </w:p>
    <w:p w:rsidR="009C732C">
      <w:pPr>
        <w:jc w:val="center"/>
        <w:rPr>
          <w:rFonts w:ascii="宋体" w:cs="宋体"/>
          <w:b/>
          <w:sz w:val="52"/>
          <w:lang w:eastAsia="zh-CN"/>
        </w:rPr>
      </w:pPr>
    </w:p>
    <w:p w:rsidR="009C732C">
      <w:pPr>
        <w:jc w:val="center"/>
        <w:rPr>
          <w:rFonts w:ascii="宋体" w:cs="宋体"/>
          <w:b/>
          <w:sz w:val="52"/>
          <w:lang w:eastAsia="zh-CN"/>
        </w:rPr>
      </w:pPr>
    </w:p>
    <w:p w:rsidR="009C732C">
      <w:pPr>
        <w:jc w:val="center"/>
        <w:rPr>
          <w:rFonts w:ascii="宋体" w:cs="宋体"/>
          <w:b/>
          <w:sz w:val="52"/>
          <w:lang w:eastAsia="zh-CN"/>
        </w:rPr>
      </w:pPr>
    </w:p>
    <w:p w:rsidR="009C732C">
      <w:pPr>
        <w:jc w:val="center"/>
        <w:rPr>
          <w:rFonts w:ascii="宋体" w:cs="宋体"/>
          <w:b/>
          <w:sz w:val="52"/>
          <w:lang w:eastAsia="zh-CN"/>
        </w:rPr>
      </w:pPr>
    </w:p>
    <w:p w:rsidR="009C732C">
      <w:pPr>
        <w:jc w:val="center"/>
        <w:rPr>
          <w:rFonts w:ascii="宋体" w:cs="宋体"/>
          <w:b/>
          <w:sz w:val="52"/>
          <w:lang w:eastAsia="zh-CN"/>
        </w:rPr>
      </w:pPr>
    </w:p>
    <w:p w:rsidR="009C732C">
      <w:pPr>
        <w:rPr>
          <w:rFonts w:ascii="宋体" w:cs="宋体"/>
          <w:b/>
          <w:lang w:eastAsia="zh-CN"/>
        </w:rPr>
      </w:pPr>
    </w:p>
    <w:p w:rsidR="009C732C">
      <w:pPr>
        <w:jc w:val="center"/>
        <w:rPr>
          <w:rFonts w:ascii="宋体" w:cs="宋体"/>
          <w:b/>
          <w:sz w:val="36"/>
          <w:lang w:eastAsia="zh-CN"/>
        </w:rPr>
      </w:pPr>
      <w:bookmarkStart w:id="6" w:name="_Toc123701383"/>
      <w:bookmarkStart w:id="7" w:name="_Toc123112263"/>
      <w:bookmarkStart w:id="8" w:name="_Toc139991726"/>
      <w:bookmarkStart w:id="9" w:name="_Toc139992301"/>
      <w:bookmarkStart w:id="10" w:name="_Toc123112224"/>
      <w:r>
        <w:rPr>
          <w:rFonts w:ascii="宋体" w:cs="宋体" w:hint="eastAsia"/>
          <w:b/>
          <w:sz w:val="36"/>
          <w:highlight w:val="white"/>
          <w:lang w:eastAsia="zh-CN"/>
        </w:rPr>
        <w:t>基金管理人：</w:t>
      </w:r>
      <w:bookmarkEnd w:id="6"/>
      <w:bookmarkEnd w:id="7"/>
      <w:bookmarkEnd w:id="8"/>
      <w:bookmarkEnd w:id="9"/>
      <w:bookmarkEnd w:id="10"/>
      <w:r>
        <w:rPr>
          <w:rFonts w:ascii="宋体" w:cs="宋体" w:hint="eastAsia"/>
          <w:b/>
          <w:sz w:val="36"/>
          <w:highlight w:val="white"/>
          <w:lang w:eastAsia="zh-CN"/>
        </w:rPr>
        <w:t>易方达基金管理有限公司</w:t>
      </w:r>
    </w:p>
    <w:p w:rsidR="009C732C">
      <w:pPr>
        <w:jc w:val="center"/>
        <w:rPr>
          <w:rFonts w:ascii="宋体" w:cs="宋体"/>
          <w:b/>
          <w:sz w:val="36"/>
          <w:lang w:eastAsia="zh-CN"/>
        </w:rPr>
      </w:pPr>
      <w:bookmarkStart w:id="11" w:name="_Toc139992302"/>
      <w:bookmarkStart w:id="12" w:name="_Toc123112225"/>
      <w:bookmarkStart w:id="13" w:name="_Toc139991727"/>
      <w:bookmarkStart w:id="14" w:name="_Toc123701384"/>
      <w:bookmarkStart w:id="15" w:name="_Toc123112264"/>
      <w:r>
        <w:rPr>
          <w:rFonts w:ascii="宋体" w:cs="宋体" w:hint="eastAsia"/>
          <w:b/>
          <w:sz w:val="36"/>
          <w:highlight w:val="white"/>
          <w:lang w:eastAsia="zh-CN"/>
        </w:rPr>
        <w:t>基金托管人：</w:t>
      </w:r>
      <w:bookmarkEnd w:id="11"/>
      <w:bookmarkEnd w:id="12"/>
      <w:bookmarkEnd w:id="13"/>
      <w:bookmarkEnd w:id="14"/>
      <w:bookmarkEnd w:id="15"/>
      <w:r>
        <w:rPr>
          <w:rFonts w:ascii="宋体" w:cs="宋体" w:hint="eastAsia"/>
          <w:b/>
          <w:sz w:val="36"/>
          <w:lang w:eastAsia="zh-CN"/>
        </w:rPr>
        <w:t>中国建设银行股份有限公司</w:t>
      </w:r>
      <w:bookmarkEnd w:id="0"/>
      <w:r>
        <w:rPr>
          <w:rFonts w:ascii="宋体" w:cs="宋体" w:hint="eastAsia"/>
          <w:b/>
          <w:sz w:val="36"/>
          <w:highlight w:val="white"/>
          <w:lang w:eastAsia="zh-CN"/>
        </w:rPr>
        <w:t xml:space="preserve"> </w:t>
      </w:r>
    </w:p>
    <w:p w:rsidR="009C732C">
      <w:pPr>
        <w:jc w:val="center"/>
        <w:rPr>
          <w:rFonts w:ascii="宋体"/>
        </w:rPr>
      </w:pPr>
      <w:r>
        <w:rPr>
          <w:rFonts w:ascii="宋体" w:cs="宋体"/>
          <w:color w:val="000000"/>
          <w:sz w:val="36"/>
          <w:highlight w:val="white"/>
        </w:rPr>
        <w:t>二〇二</w:t>
      </w:r>
      <w:r w:rsidR="00FB0F0C">
        <w:rPr>
          <w:rFonts w:ascii="宋体" w:hint="eastAsia"/>
          <w:color w:val="000000"/>
          <w:sz w:val="36"/>
          <w:highlight w:val="white"/>
          <w:lang w:eastAsia="zh-CN"/>
        </w:rPr>
        <w:t>四</w:t>
      </w:r>
      <w:r>
        <w:rPr>
          <w:rFonts w:ascii="宋体" w:cs="宋体"/>
          <w:color w:val="000000"/>
          <w:sz w:val="36"/>
          <w:highlight w:val="white"/>
        </w:rPr>
        <w:t>年</w:t>
      </w:r>
      <w:r>
        <w:rPr>
          <w:rFonts w:ascii="宋体" w:hint="eastAsia"/>
          <w:color w:val="000000"/>
          <w:sz w:val="36"/>
          <w:highlight w:val="white"/>
          <w:lang w:eastAsia="zh-CN"/>
        </w:rPr>
        <w:t>四</w:t>
      </w:r>
      <w:r>
        <w:rPr>
          <w:rFonts w:ascii="宋体" w:cs="宋体"/>
          <w:color w:val="000000"/>
          <w:sz w:val="36"/>
          <w:highlight w:val="white"/>
        </w:rPr>
        <w:t>月</w:t>
      </w:r>
    </w:p>
    <w:p w:rsidR="009C732C">
      <w:pPr>
        <w:jc w:val="center"/>
        <w:rPr>
          <w:rFonts w:asci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LAUSE_fdf585a4faa844a4b0f354e63c59a86e"/>
      <w:bookmarkStart w:id="17" w:name="CTS_fdf585a4faa844a4b0f354e63c59a86e"/>
      <w:bookmarkStart w:id="18" w:name="_Toc123701386"/>
      <w:bookmarkStart w:id="19" w:name="_Toc139991729"/>
      <w:bookmarkStart w:id="20" w:name="_Toc123112227"/>
      <w:bookmarkStart w:id="21" w:name="_Toc123112266"/>
      <w:bookmarkEnd w:id="16"/>
      <w:bookmarkEnd w:id="17"/>
    </w:p>
    <w:p w:rsidR="009C732C">
      <w:pPr>
        <w:spacing w:line="360" w:lineRule="auto"/>
        <w:ind w:firstLine="420"/>
        <w:jc w:val="center"/>
        <w:rPr>
          <w:rFonts w:ascii="宋体" w:cs="宋体"/>
          <w:sz w:val="28"/>
        </w:rPr>
      </w:pPr>
      <w:bookmarkStart w:id="22" w:name="CLAUSE_73e66dd40a074323a355eab32fd97f2b"/>
      <w:r>
        <w:rPr>
          <w:rFonts w:ascii="宋体" w:cs="宋体"/>
          <w:highlight w:val="white"/>
        </w:rPr>
        <w:t xml:space="preserve"> </w:t>
      </w:r>
      <w:bookmarkStart w:id="23" w:name="CTS_73e66dd40a074323a355eab32fd97f2b"/>
      <w:bookmarkEnd w:id="23"/>
      <w:r>
        <w:rPr>
          <w:rFonts w:ascii="宋体" w:cs="宋体" w:hint="eastAsia"/>
          <w:sz w:val="28"/>
          <w:highlight w:val="white"/>
        </w:rPr>
        <w:t>目录</w:t>
      </w:r>
      <w:bookmarkEnd w:id="18"/>
      <w:bookmarkEnd w:id="19"/>
      <w:bookmarkEnd w:id="20"/>
      <w:bookmarkEnd w:id="21"/>
    </w:p>
    <w:p w:rsidR="009C732C">
      <w:pPr>
        <w:pStyle w:val="TOC1"/>
        <w:rPr>
          <w:rFonts w:ascii="宋体" w:cs="宋体"/>
          <w:noProof/>
        </w:rPr>
      </w:pPr>
      <w:r>
        <w:rPr>
          <w:rFonts w:ascii="宋体" w:cs="宋体"/>
          <w:sz w:val="24"/>
        </w:rPr>
        <w:fldChar w:fldCharType="begin"/>
      </w:r>
      <w:r>
        <w:rPr>
          <w:rFonts w:ascii="宋体" w:cs="宋体"/>
          <w:bCs/>
          <w:sz w:val="24"/>
          <w:highlight w:val="white"/>
        </w:rPr>
        <w:instrText xml:space="preserve"> TOC \o "1-1" \h \z \u </w:instrText>
      </w:r>
      <w:r>
        <w:rPr>
          <w:rFonts w:ascii="宋体" w:cs="宋体"/>
          <w:sz w:val="24"/>
        </w:rPr>
        <w:fldChar w:fldCharType="separate"/>
      </w:r>
      <w:hyperlink w:anchor="_Toc6327206" w:tooltip="Current Document" w:history="1">
        <w:r>
          <w:rPr>
            <w:rStyle w:val="Hyperlink"/>
            <w:rFonts w:ascii="宋体" w:cs="宋体" w:hint="eastAsia"/>
            <w:noProof/>
            <w:highlight w:val="white"/>
          </w:rPr>
          <w:t>第一部分</w:t>
        </w:r>
        <w:r>
          <w:rPr>
            <w:rStyle w:val="Hyperlink"/>
            <w:rFonts w:ascii="宋体" w:cs="宋体"/>
            <w:noProof/>
            <w:highlight w:val="white"/>
          </w:rPr>
          <w:t xml:space="preserve"> </w:t>
        </w:r>
        <w:r>
          <w:rPr>
            <w:rStyle w:val="Hyperlink"/>
            <w:rFonts w:ascii="宋体" w:cs="宋体" w:hint="eastAsia"/>
            <w:noProof/>
            <w:highlight w:val="white"/>
          </w:rPr>
          <w:t>前言</w:t>
        </w:r>
        <w:r>
          <w:rPr>
            <w:rFonts w:ascii="宋体" w:cs="宋体"/>
            <w:noProof/>
            <w:highlight w:val="white"/>
          </w:rPr>
          <w:tab/>
        </w:r>
        <w:r>
          <w:rPr>
            <w:rFonts w:ascii="宋体" w:cs="宋体"/>
            <w:noProof/>
          </w:rPr>
          <w:fldChar w:fldCharType="begin"/>
        </w:r>
        <w:r>
          <w:rPr>
            <w:rFonts w:ascii="宋体" w:cs="宋体"/>
            <w:noProof/>
            <w:highlight w:val="white"/>
          </w:rPr>
          <w:instrText xml:space="preserve"> PAGEREF _Toc6327206 \h </w:instrText>
        </w:r>
        <w:r>
          <w:rPr>
            <w:rFonts w:ascii="宋体" w:cs="宋体"/>
            <w:noProof/>
          </w:rPr>
          <w:fldChar w:fldCharType="separate"/>
        </w:r>
        <w:r w:rsidR="00FB0F0C">
          <w:rPr>
            <w:rFonts w:ascii="宋体" w:cs="宋体"/>
            <w:noProof/>
            <w:highlight w:val="white"/>
          </w:rPr>
          <w:t>1</w:t>
        </w:r>
        <w:r>
          <w:rPr>
            <w:rFonts w:ascii="宋体" w:cs="宋体"/>
            <w:noProof/>
          </w:rPr>
          <w:fldChar w:fldCharType="end"/>
        </w:r>
      </w:hyperlink>
    </w:p>
    <w:p w:rsidR="009C732C">
      <w:pPr>
        <w:pStyle w:val="TOC1"/>
        <w:rPr>
          <w:rFonts w:ascii="宋体" w:cs="宋体"/>
          <w:noProof/>
        </w:rPr>
      </w:pPr>
      <w:hyperlink w:anchor="_Toc6327207" w:tooltip="Current Document" w:history="1">
        <w:r w:rsidR="00653A5A">
          <w:rPr>
            <w:rStyle w:val="Hyperlink"/>
            <w:rFonts w:ascii="宋体" w:cs="宋体" w:hint="eastAsia"/>
            <w:noProof/>
            <w:highlight w:val="white"/>
          </w:rPr>
          <w:t>第二部分</w:t>
        </w:r>
        <w:r w:rsidR="00653A5A">
          <w:rPr>
            <w:rStyle w:val="Hyperlink"/>
            <w:rFonts w:ascii="宋体" w:cs="宋体"/>
            <w:noProof/>
            <w:highlight w:val="white"/>
          </w:rPr>
          <w:t xml:space="preserve"> </w:t>
        </w:r>
        <w:r w:rsidR="00653A5A">
          <w:rPr>
            <w:rStyle w:val="Hyperlink"/>
            <w:rFonts w:ascii="宋体" w:cs="宋体" w:hint="eastAsia"/>
            <w:noProof/>
            <w:highlight w:val="white"/>
          </w:rPr>
          <w:t>释义</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_Toc6327207 \h </w:instrText>
        </w:r>
        <w:r w:rsidR="00653A5A">
          <w:rPr>
            <w:rFonts w:ascii="宋体" w:cs="宋体"/>
            <w:noProof/>
          </w:rPr>
          <w:fldChar w:fldCharType="separate"/>
        </w:r>
        <w:r w:rsidR="00FB0F0C">
          <w:rPr>
            <w:rFonts w:ascii="宋体" w:cs="宋体"/>
            <w:noProof/>
            <w:highlight w:val="white"/>
          </w:rPr>
          <w:t>3</w:t>
        </w:r>
        <w:r w:rsidR="00653A5A">
          <w:rPr>
            <w:rFonts w:ascii="宋体" w:cs="宋体"/>
            <w:noProof/>
          </w:rPr>
          <w:fldChar w:fldCharType="end"/>
        </w:r>
      </w:hyperlink>
    </w:p>
    <w:p w:rsidR="009C732C">
      <w:pPr>
        <w:pStyle w:val="TOC1"/>
        <w:rPr>
          <w:rFonts w:ascii="宋体" w:cs="宋体"/>
          <w:noProof/>
        </w:rPr>
      </w:pPr>
      <w:hyperlink w:anchor="_Toc6327208" w:tooltip="Current Document" w:history="1">
        <w:r w:rsidR="00653A5A">
          <w:rPr>
            <w:rStyle w:val="Hyperlink"/>
            <w:rFonts w:ascii="宋体" w:cs="宋体" w:hint="eastAsia"/>
            <w:noProof/>
            <w:highlight w:val="white"/>
          </w:rPr>
          <w:t>第三部分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基金的基本情况</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_Toc6327208 \h </w:instrText>
        </w:r>
        <w:r w:rsidR="00653A5A">
          <w:rPr>
            <w:rFonts w:ascii="宋体" w:cs="宋体"/>
            <w:noProof/>
          </w:rPr>
          <w:fldChar w:fldCharType="separate"/>
        </w:r>
        <w:r w:rsidR="00FB0F0C">
          <w:rPr>
            <w:rFonts w:ascii="宋体" w:cs="宋体"/>
            <w:noProof/>
            <w:highlight w:val="white"/>
          </w:rPr>
          <w:t>9</w:t>
        </w:r>
        <w:r w:rsidR="00653A5A">
          <w:rPr>
            <w:rFonts w:ascii="宋体" w:cs="宋体"/>
            <w:noProof/>
          </w:rPr>
          <w:fldChar w:fldCharType="end"/>
        </w:r>
      </w:hyperlink>
    </w:p>
    <w:p w:rsidR="009C732C">
      <w:pPr>
        <w:pStyle w:val="TOC1"/>
        <w:rPr>
          <w:rFonts w:ascii="宋体" w:cs="宋体"/>
          <w:noProof/>
        </w:rPr>
      </w:pPr>
      <w:hyperlink w:anchor="_Toc6327209" w:tooltip="Current Document" w:history="1">
        <w:r w:rsidR="00653A5A">
          <w:rPr>
            <w:rStyle w:val="Hyperlink"/>
            <w:rFonts w:ascii="宋体" w:cs="宋体" w:hint="eastAsia"/>
            <w:noProof/>
            <w:highlight w:val="white"/>
          </w:rPr>
          <w:t>第四部分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基金份额的发售</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_Toc6327209 \h </w:instrText>
        </w:r>
        <w:r w:rsidR="00653A5A">
          <w:rPr>
            <w:rFonts w:ascii="宋体" w:cs="宋体"/>
            <w:noProof/>
          </w:rPr>
          <w:fldChar w:fldCharType="separate"/>
        </w:r>
        <w:r w:rsidR="00FB0F0C">
          <w:rPr>
            <w:rFonts w:ascii="宋体" w:cs="宋体"/>
            <w:noProof/>
            <w:highlight w:val="white"/>
          </w:rPr>
          <w:t>12</w:t>
        </w:r>
        <w:r w:rsidR="00653A5A">
          <w:rPr>
            <w:rFonts w:ascii="宋体" w:cs="宋体"/>
            <w:noProof/>
          </w:rPr>
          <w:fldChar w:fldCharType="end"/>
        </w:r>
      </w:hyperlink>
    </w:p>
    <w:p w:rsidR="009C732C">
      <w:pPr>
        <w:pStyle w:val="TOC1"/>
        <w:rPr>
          <w:rFonts w:ascii="宋体" w:cs="宋体"/>
          <w:noProof/>
        </w:rPr>
      </w:pPr>
      <w:hyperlink w:anchor="_Toc6327210" w:tooltip="Current Document" w:history="1">
        <w:r w:rsidR="00653A5A">
          <w:rPr>
            <w:rStyle w:val="Hyperlink"/>
            <w:rFonts w:ascii="宋体" w:cs="宋体" w:hint="eastAsia"/>
            <w:noProof/>
            <w:highlight w:val="white"/>
          </w:rPr>
          <w:t>第五部分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基金备案</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_Toc6327210 \h </w:instrText>
        </w:r>
        <w:r w:rsidR="00653A5A">
          <w:rPr>
            <w:rFonts w:ascii="宋体" w:cs="宋体"/>
            <w:noProof/>
          </w:rPr>
          <w:fldChar w:fldCharType="separate"/>
        </w:r>
        <w:r w:rsidR="00FB0F0C">
          <w:rPr>
            <w:rFonts w:ascii="宋体" w:cs="宋体"/>
            <w:noProof/>
            <w:highlight w:val="white"/>
          </w:rPr>
          <w:t>14</w:t>
        </w:r>
        <w:r w:rsidR="00653A5A">
          <w:rPr>
            <w:rFonts w:ascii="宋体" w:cs="宋体"/>
            <w:noProof/>
          </w:rPr>
          <w:fldChar w:fldCharType="end"/>
        </w:r>
      </w:hyperlink>
    </w:p>
    <w:p w:rsidR="009C732C">
      <w:pPr>
        <w:pStyle w:val="TOC1"/>
        <w:rPr>
          <w:rFonts w:ascii="宋体" w:cs="宋体"/>
          <w:noProof/>
        </w:rPr>
      </w:pPr>
      <w:hyperlink w:anchor="_Toc6327211" w:tooltip="Current Document" w:history="1">
        <w:r w:rsidR="00653A5A">
          <w:rPr>
            <w:rStyle w:val="Hyperlink"/>
            <w:rFonts w:ascii="宋体" w:cs="宋体" w:hint="eastAsia"/>
            <w:noProof/>
            <w:highlight w:val="white"/>
          </w:rPr>
          <w:t>第六部分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基金份额的申购与赎回</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_Toc6327211 \h </w:instrText>
        </w:r>
        <w:r w:rsidR="00653A5A">
          <w:rPr>
            <w:rFonts w:ascii="宋体" w:cs="宋体"/>
            <w:noProof/>
          </w:rPr>
          <w:fldChar w:fldCharType="separate"/>
        </w:r>
        <w:r w:rsidR="00FB0F0C">
          <w:rPr>
            <w:rFonts w:ascii="宋体" w:cs="宋体"/>
            <w:noProof/>
            <w:highlight w:val="white"/>
          </w:rPr>
          <w:t>16</w:t>
        </w:r>
        <w:r w:rsidR="00653A5A">
          <w:rPr>
            <w:rFonts w:ascii="宋体" w:cs="宋体"/>
            <w:noProof/>
          </w:rPr>
          <w:fldChar w:fldCharType="end"/>
        </w:r>
      </w:hyperlink>
    </w:p>
    <w:p w:rsidR="009C732C">
      <w:pPr>
        <w:pStyle w:val="TOC1"/>
        <w:rPr>
          <w:rFonts w:ascii="宋体" w:cs="宋体"/>
          <w:noProof/>
        </w:rPr>
      </w:pPr>
      <w:hyperlink w:anchor="_Toc6327212" w:tooltip="Current Document" w:history="1">
        <w:r w:rsidR="00653A5A">
          <w:rPr>
            <w:rStyle w:val="Hyperlink"/>
            <w:rFonts w:ascii="宋体" w:cs="宋体" w:hint="eastAsia"/>
            <w:noProof/>
            <w:highlight w:val="white"/>
          </w:rPr>
          <w:t>第七部分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基金合同当事人及权利义务</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_Toc6327212 \h </w:instrText>
        </w:r>
        <w:r w:rsidR="00653A5A">
          <w:rPr>
            <w:rFonts w:ascii="宋体" w:cs="宋体"/>
            <w:noProof/>
          </w:rPr>
          <w:fldChar w:fldCharType="separate"/>
        </w:r>
        <w:r w:rsidR="00FB0F0C">
          <w:rPr>
            <w:rFonts w:ascii="宋体" w:cs="宋体"/>
            <w:noProof/>
            <w:highlight w:val="white"/>
          </w:rPr>
          <w:t>26</w:t>
        </w:r>
        <w:r w:rsidR="00653A5A">
          <w:rPr>
            <w:rFonts w:ascii="宋体" w:cs="宋体"/>
            <w:noProof/>
          </w:rPr>
          <w:fldChar w:fldCharType="end"/>
        </w:r>
      </w:hyperlink>
    </w:p>
    <w:p w:rsidR="009C732C">
      <w:pPr>
        <w:pStyle w:val="TOC1"/>
        <w:rPr>
          <w:rFonts w:ascii="宋体" w:cs="宋体"/>
          <w:noProof/>
        </w:rPr>
      </w:pPr>
      <w:hyperlink w:anchor="_Toc6327213" w:tooltip="Current Document" w:history="1">
        <w:r w:rsidR="00653A5A">
          <w:rPr>
            <w:rStyle w:val="Hyperlink"/>
            <w:rFonts w:ascii="宋体" w:cs="宋体" w:hint="eastAsia"/>
            <w:noProof/>
            <w:highlight w:val="white"/>
          </w:rPr>
          <w:t>第八部分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基金份额持有人大会</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_Toc6327213 \h </w:instrText>
        </w:r>
        <w:r w:rsidR="00653A5A">
          <w:rPr>
            <w:rFonts w:ascii="宋体" w:cs="宋体"/>
            <w:noProof/>
          </w:rPr>
          <w:fldChar w:fldCharType="separate"/>
        </w:r>
        <w:r w:rsidR="00FB0F0C">
          <w:rPr>
            <w:rFonts w:ascii="宋体" w:cs="宋体"/>
            <w:noProof/>
            <w:highlight w:val="white"/>
          </w:rPr>
          <w:t>34</w:t>
        </w:r>
        <w:r w:rsidR="00653A5A">
          <w:rPr>
            <w:rFonts w:ascii="宋体" w:cs="宋体"/>
            <w:noProof/>
          </w:rPr>
          <w:fldChar w:fldCharType="end"/>
        </w:r>
      </w:hyperlink>
    </w:p>
    <w:p w:rsidR="009C732C">
      <w:pPr>
        <w:pStyle w:val="TOC1"/>
        <w:rPr>
          <w:rFonts w:ascii="宋体" w:cs="宋体"/>
          <w:noProof/>
        </w:rPr>
      </w:pPr>
      <w:hyperlink w:anchor="_Toc6327214" w:tooltip="Current Document" w:history="1">
        <w:r w:rsidR="00653A5A">
          <w:rPr>
            <w:rStyle w:val="Hyperlink"/>
            <w:rFonts w:ascii="宋体" w:cs="宋体" w:hint="eastAsia"/>
            <w:noProof/>
            <w:highlight w:val="white"/>
          </w:rPr>
          <w:t>第九部分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基金管理人、基金托管人的更换条件和程序</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_Toc6327214 \h </w:instrText>
        </w:r>
        <w:r w:rsidR="00653A5A">
          <w:rPr>
            <w:rFonts w:ascii="宋体" w:cs="宋体"/>
            <w:noProof/>
          </w:rPr>
          <w:fldChar w:fldCharType="separate"/>
        </w:r>
        <w:r w:rsidR="00FB0F0C">
          <w:rPr>
            <w:rFonts w:ascii="宋体" w:cs="宋体"/>
            <w:noProof/>
            <w:highlight w:val="white"/>
          </w:rPr>
          <w:t>43</w:t>
        </w:r>
        <w:r w:rsidR="00653A5A">
          <w:rPr>
            <w:rFonts w:ascii="宋体" w:cs="宋体"/>
            <w:noProof/>
          </w:rPr>
          <w:fldChar w:fldCharType="end"/>
        </w:r>
      </w:hyperlink>
    </w:p>
    <w:p w:rsidR="009C732C">
      <w:pPr>
        <w:pStyle w:val="TOC1"/>
        <w:rPr>
          <w:rFonts w:ascii="宋体" w:cs="宋体"/>
          <w:noProof/>
        </w:rPr>
      </w:pPr>
      <w:hyperlink w:anchor="_Toc6327215" w:tooltip="Current Document" w:history="1">
        <w:r w:rsidR="00653A5A">
          <w:rPr>
            <w:rStyle w:val="Hyperlink"/>
            <w:rFonts w:ascii="宋体" w:cs="宋体" w:hint="eastAsia"/>
            <w:noProof/>
            <w:highlight w:val="white"/>
          </w:rPr>
          <w:t>第十部分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基金的托管</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_Toc6327215 \h </w:instrText>
        </w:r>
        <w:r w:rsidR="00653A5A">
          <w:rPr>
            <w:rFonts w:ascii="宋体" w:cs="宋体"/>
            <w:noProof/>
          </w:rPr>
          <w:fldChar w:fldCharType="separate"/>
        </w:r>
        <w:r w:rsidR="00FB0F0C">
          <w:rPr>
            <w:rFonts w:ascii="宋体" w:cs="宋体"/>
            <w:noProof/>
            <w:highlight w:val="white"/>
          </w:rPr>
          <w:t>46</w:t>
        </w:r>
        <w:r w:rsidR="00653A5A">
          <w:rPr>
            <w:rFonts w:ascii="宋体" w:cs="宋体"/>
            <w:noProof/>
          </w:rPr>
          <w:fldChar w:fldCharType="end"/>
        </w:r>
      </w:hyperlink>
    </w:p>
    <w:p w:rsidR="009C732C">
      <w:pPr>
        <w:pStyle w:val="TOC1"/>
        <w:rPr>
          <w:rFonts w:ascii="宋体" w:cs="宋体"/>
          <w:noProof/>
        </w:rPr>
      </w:pPr>
      <w:hyperlink w:anchor="_Toc6327216" w:tooltip="Current Document" w:history="1">
        <w:r w:rsidR="00653A5A">
          <w:rPr>
            <w:rStyle w:val="Hyperlink"/>
            <w:rFonts w:ascii="宋体" w:cs="宋体" w:hint="eastAsia"/>
            <w:noProof/>
            <w:highlight w:val="white"/>
          </w:rPr>
          <w:t>第十一部分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基金份额的登记</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_Toc6327216 \h </w:instrText>
        </w:r>
        <w:r w:rsidR="00653A5A">
          <w:rPr>
            <w:rFonts w:ascii="宋体" w:cs="宋体"/>
            <w:noProof/>
          </w:rPr>
          <w:fldChar w:fldCharType="separate"/>
        </w:r>
        <w:r w:rsidR="00FB0F0C">
          <w:rPr>
            <w:rFonts w:ascii="宋体" w:cs="宋体"/>
            <w:noProof/>
            <w:highlight w:val="white"/>
          </w:rPr>
          <w:t>47</w:t>
        </w:r>
        <w:r w:rsidR="00653A5A">
          <w:rPr>
            <w:rFonts w:ascii="宋体" w:cs="宋体"/>
            <w:noProof/>
          </w:rPr>
          <w:fldChar w:fldCharType="end"/>
        </w:r>
      </w:hyperlink>
    </w:p>
    <w:p w:rsidR="009C732C">
      <w:pPr>
        <w:pStyle w:val="TOC1"/>
        <w:rPr>
          <w:rFonts w:ascii="宋体" w:cs="宋体"/>
          <w:noProof/>
        </w:rPr>
      </w:pPr>
      <w:hyperlink w:anchor="_Toc6327217" w:tooltip="Current Document" w:history="1">
        <w:r w:rsidR="00653A5A">
          <w:rPr>
            <w:rStyle w:val="Hyperlink"/>
            <w:rFonts w:ascii="宋体" w:cs="宋体" w:hint="eastAsia"/>
            <w:noProof/>
            <w:highlight w:val="white"/>
          </w:rPr>
          <w:t>第十二部分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基金的投资</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_Toc6327217 \h </w:instrText>
        </w:r>
        <w:r w:rsidR="00653A5A">
          <w:rPr>
            <w:rFonts w:ascii="宋体" w:cs="宋体"/>
            <w:noProof/>
          </w:rPr>
          <w:fldChar w:fldCharType="separate"/>
        </w:r>
        <w:r w:rsidR="00FB0F0C">
          <w:rPr>
            <w:rFonts w:ascii="宋体" w:cs="宋体"/>
            <w:noProof/>
            <w:highlight w:val="white"/>
          </w:rPr>
          <w:t>49</w:t>
        </w:r>
        <w:r w:rsidR="00653A5A">
          <w:rPr>
            <w:rFonts w:ascii="宋体" w:cs="宋体"/>
            <w:noProof/>
          </w:rPr>
          <w:fldChar w:fldCharType="end"/>
        </w:r>
      </w:hyperlink>
    </w:p>
    <w:p w:rsidR="009C732C">
      <w:pPr>
        <w:pStyle w:val="TOC1"/>
        <w:rPr>
          <w:rFonts w:ascii="宋体" w:cs="宋体"/>
          <w:noProof/>
        </w:rPr>
      </w:pPr>
      <w:hyperlink w:anchor="_Toc6327218" w:tooltip="Current Document" w:history="1">
        <w:r w:rsidR="00653A5A">
          <w:rPr>
            <w:rStyle w:val="Hyperlink"/>
            <w:rFonts w:ascii="宋体" w:cs="宋体" w:hint="eastAsia"/>
            <w:noProof/>
            <w:highlight w:val="white"/>
          </w:rPr>
          <w:t>第十三部分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基金的财产</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_Toc6327218 \h </w:instrText>
        </w:r>
        <w:r w:rsidR="00653A5A">
          <w:rPr>
            <w:rFonts w:ascii="宋体" w:cs="宋体"/>
            <w:noProof/>
          </w:rPr>
          <w:fldChar w:fldCharType="separate"/>
        </w:r>
        <w:r w:rsidR="00FB0F0C">
          <w:rPr>
            <w:rFonts w:ascii="宋体" w:cs="宋体"/>
            <w:noProof/>
            <w:highlight w:val="white"/>
          </w:rPr>
          <w:t>57</w:t>
        </w:r>
        <w:r w:rsidR="00653A5A">
          <w:rPr>
            <w:rFonts w:ascii="宋体" w:cs="宋体"/>
            <w:noProof/>
          </w:rPr>
          <w:fldChar w:fldCharType="end"/>
        </w:r>
      </w:hyperlink>
    </w:p>
    <w:p w:rsidR="009C732C">
      <w:pPr>
        <w:pStyle w:val="TOC1"/>
        <w:rPr>
          <w:rFonts w:ascii="宋体" w:cs="宋体"/>
          <w:noProof/>
        </w:rPr>
      </w:pPr>
      <w:hyperlink w:anchor="_Toc6327219" w:tooltip="Current Document" w:history="1">
        <w:r w:rsidR="00653A5A">
          <w:rPr>
            <w:rStyle w:val="Hyperlink"/>
            <w:rFonts w:ascii="宋体" w:cs="宋体" w:hint="eastAsia"/>
            <w:noProof/>
            <w:highlight w:val="white"/>
          </w:rPr>
          <w:t>第十四部分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基金资产估值</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_Toc6327219 \h </w:instrText>
        </w:r>
        <w:r w:rsidR="00653A5A">
          <w:rPr>
            <w:rFonts w:ascii="宋体" w:cs="宋体"/>
            <w:noProof/>
          </w:rPr>
          <w:fldChar w:fldCharType="separate"/>
        </w:r>
        <w:r w:rsidR="00FB0F0C">
          <w:rPr>
            <w:rFonts w:ascii="宋体" w:cs="宋体"/>
            <w:noProof/>
            <w:highlight w:val="white"/>
          </w:rPr>
          <w:t>58</w:t>
        </w:r>
        <w:r w:rsidR="00653A5A">
          <w:rPr>
            <w:rFonts w:ascii="宋体" w:cs="宋体"/>
            <w:noProof/>
          </w:rPr>
          <w:fldChar w:fldCharType="end"/>
        </w:r>
      </w:hyperlink>
    </w:p>
    <w:p w:rsidR="009C732C">
      <w:pPr>
        <w:pStyle w:val="TOC1"/>
        <w:rPr>
          <w:rFonts w:ascii="宋体" w:cs="宋体"/>
          <w:noProof/>
        </w:rPr>
      </w:pPr>
      <w:hyperlink w:anchor="_Toc6327220" w:tooltip="Current Document" w:history="1">
        <w:r w:rsidR="00653A5A">
          <w:rPr>
            <w:rStyle w:val="Hyperlink"/>
            <w:rFonts w:ascii="宋体" w:cs="宋体" w:hint="eastAsia"/>
            <w:noProof/>
            <w:highlight w:val="white"/>
          </w:rPr>
          <w:t>第十五部分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基金费用与税收</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_Toc6327220 \h </w:instrText>
        </w:r>
        <w:r w:rsidR="00653A5A">
          <w:rPr>
            <w:rFonts w:ascii="宋体" w:cs="宋体"/>
            <w:noProof/>
          </w:rPr>
          <w:fldChar w:fldCharType="separate"/>
        </w:r>
        <w:r w:rsidR="00FB0F0C">
          <w:rPr>
            <w:rFonts w:ascii="宋体" w:cs="宋体"/>
            <w:noProof/>
            <w:highlight w:val="white"/>
          </w:rPr>
          <w:t>64</w:t>
        </w:r>
        <w:r w:rsidR="00653A5A">
          <w:rPr>
            <w:rFonts w:ascii="宋体" w:cs="宋体"/>
            <w:noProof/>
          </w:rPr>
          <w:fldChar w:fldCharType="end"/>
        </w:r>
      </w:hyperlink>
    </w:p>
    <w:p w:rsidR="009C732C">
      <w:pPr>
        <w:pStyle w:val="TOC1"/>
        <w:rPr>
          <w:rFonts w:ascii="宋体" w:cs="宋体"/>
          <w:noProof/>
        </w:rPr>
      </w:pPr>
      <w:hyperlink w:anchor="_Toc6327221" w:tooltip="Current Document" w:history="1">
        <w:r w:rsidR="00653A5A">
          <w:rPr>
            <w:rStyle w:val="Hyperlink"/>
            <w:rFonts w:ascii="宋体" w:cs="宋体" w:hint="eastAsia"/>
            <w:noProof/>
            <w:highlight w:val="white"/>
          </w:rPr>
          <w:t>第十六部分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基金的收益与分配</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_Toc6327221 \h </w:instrText>
        </w:r>
        <w:r w:rsidR="00653A5A">
          <w:rPr>
            <w:rFonts w:ascii="宋体" w:cs="宋体"/>
            <w:noProof/>
          </w:rPr>
          <w:fldChar w:fldCharType="separate"/>
        </w:r>
        <w:r w:rsidR="00FB0F0C">
          <w:rPr>
            <w:rFonts w:ascii="宋体" w:cs="宋体"/>
            <w:noProof/>
            <w:highlight w:val="white"/>
          </w:rPr>
          <w:t>67</w:t>
        </w:r>
        <w:r w:rsidR="00653A5A">
          <w:rPr>
            <w:rFonts w:ascii="宋体" w:cs="宋体"/>
            <w:noProof/>
          </w:rPr>
          <w:fldChar w:fldCharType="end"/>
        </w:r>
      </w:hyperlink>
    </w:p>
    <w:p w:rsidR="009C732C">
      <w:pPr>
        <w:pStyle w:val="TOC1"/>
        <w:rPr>
          <w:rFonts w:ascii="宋体" w:cs="宋体"/>
          <w:noProof/>
        </w:rPr>
      </w:pPr>
      <w:hyperlink w:anchor="_Toc6327222" w:tooltip="Current Document" w:history="1">
        <w:r w:rsidR="00653A5A">
          <w:rPr>
            <w:rStyle w:val="Hyperlink"/>
            <w:rFonts w:ascii="宋体" w:cs="宋体" w:hint="eastAsia"/>
            <w:noProof/>
            <w:highlight w:val="white"/>
          </w:rPr>
          <w:t>第十七部分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基金的会计与审计</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_Toc6327222 \h </w:instrText>
        </w:r>
        <w:r w:rsidR="00653A5A">
          <w:rPr>
            <w:rFonts w:ascii="宋体" w:cs="宋体"/>
            <w:noProof/>
          </w:rPr>
          <w:fldChar w:fldCharType="separate"/>
        </w:r>
        <w:r w:rsidR="00FB0F0C">
          <w:rPr>
            <w:rFonts w:ascii="宋体" w:cs="宋体"/>
            <w:noProof/>
            <w:highlight w:val="white"/>
          </w:rPr>
          <w:t>69</w:t>
        </w:r>
        <w:r w:rsidR="00653A5A">
          <w:rPr>
            <w:rFonts w:ascii="宋体" w:cs="宋体"/>
            <w:noProof/>
          </w:rPr>
          <w:fldChar w:fldCharType="end"/>
        </w:r>
      </w:hyperlink>
    </w:p>
    <w:p w:rsidR="009C732C">
      <w:pPr>
        <w:pStyle w:val="TOC1"/>
        <w:rPr>
          <w:rFonts w:ascii="宋体" w:cs="宋体"/>
          <w:noProof/>
        </w:rPr>
      </w:pPr>
      <w:hyperlink w:anchor="_Toc6327223" w:tooltip="Current Document" w:history="1">
        <w:r w:rsidR="00653A5A">
          <w:rPr>
            <w:rStyle w:val="Hyperlink"/>
            <w:rFonts w:ascii="宋体" w:cs="宋体" w:hint="eastAsia"/>
            <w:noProof/>
            <w:highlight w:val="white"/>
          </w:rPr>
          <w:t>第十八部分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基金的信息披露</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_Toc6327223 \h </w:instrText>
        </w:r>
        <w:r w:rsidR="00653A5A">
          <w:rPr>
            <w:rFonts w:ascii="宋体" w:cs="宋体"/>
            <w:noProof/>
          </w:rPr>
          <w:fldChar w:fldCharType="separate"/>
        </w:r>
        <w:r w:rsidR="00FB0F0C">
          <w:rPr>
            <w:rFonts w:ascii="宋体" w:cs="宋体"/>
            <w:noProof/>
            <w:highlight w:val="white"/>
          </w:rPr>
          <w:t>70</w:t>
        </w:r>
        <w:r w:rsidR="00653A5A">
          <w:rPr>
            <w:rFonts w:ascii="宋体" w:cs="宋体"/>
            <w:noProof/>
          </w:rPr>
          <w:fldChar w:fldCharType="end"/>
        </w:r>
      </w:hyperlink>
    </w:p>
    <w:p w:rsidR="009C732C">
      <w:pPr>
        <w:pStyle w:val="TOC1"/>
        <w:rPr>
          <w:rFonts w:ascii="宋体" w:cs="宋体"/>
          <w:noProof/>
        </w:rPr>
      </w:pPr>
      <w:hyperlink w:anchor="_Toc6327224" w:tooltip="Current Document" w:history="1">
        <w:r w:rsidR="00653A5A">
          <w:rPr>
            <w:rStyle w:val="Hyperlink"/>
            <w:rFonts w:ascii="宋体" w:cs="宋体" w:hint="eastAsia"/>
            <w:noProof/>
            <w:highlight w:val="white"/>
          </w:rPr>
          <w:t>第十九部分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基金合同的变更、终止与基金财产的清算</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_Toc6327224 \h </w:instrText>
        </w:r>
        <w:r w:rsidR="00653A5A">
          <w:rPr>
            <w:rFonts w:ascii="宋体" w:cs="宋体"/>
            <w:noProof/>
          </w:rPr>
          <w:fldChar w:fldCharType="separate"/>
        </w:r>
        <w:r w:rsidR="00FB0F0C">
          <w:rPr>
            <w:rFonts w:ascii="宋体" w:cs="宋体"/>
            <w:noProof/>
            <w:highlight w:val="white"/>
          </w:rPr>
          <w:t>77</w:t>
        </w:r>
        <w:r w:rsidR="00653A5A">
          <w:rPr>
            <w:rFonts w:ascii="宋体" w:cs="宋体"/>
            <w:noProof/>
          </w:rPr>
          <w:fldChar w:fldCharType="end"/>
        </w:r>
      </w:hyperlink>
    </w:p>
    <w:p w:rsidR="009C732C">
      <w:pPr>
        <w:pStyle w:val="TOC1"/>
        <w:rPr>
          <w:rFonts w:ascii="宋体" w:cs="宋体"/>
          <w:noProof/>
        </w:rPr>
      </w:pPr>
      <w:hyperlink w:anchor="_Toc6327225" w:tooltip="Current Document" w:history="1">
        <w:r w:rsidR="00653A5A">
          <w:rPr>
            <w:rStyle w:val="Hyperlink"/>
            <w:rFonts w:ascii="宋体" w:cs="宋体" w:hint="eastAsia"/>
            <w:noProof/>
            <w:highlight w:val="white"/>
          </w:rPr>
          <w:t>第二十部分</w:t>
        </w:r>
        <w:r w:rsidR="00653A5A">
          <w:rPr>
            <w:rStyle w:val="Hyperlink"/>
            <w:rFonts w:ascii="宋体" w:cs="宋体"/>
            <w:noProof/>
            <w:highlight w:val="white"/>
          </w:rPr>
          <w:t xml:space="preserve"> </w:t>
        </w:r>
        <w:r w:rsidR="00653A5A">
          <w:rPr>
            <w:rStyle w:val="Hyperlink"/>
            <w:rFonts w:ascii="宋体" w:cs="宋体" w:hint="eastAsia"/>
            <w:noProof/>
            <w:highlight w:val="white"/>
          </w:rPr>
          <w:t>违约责任</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_Toc6327225 \h </w:instrText>
        </w:r>
        <w:r w:rsidR="00653A5A">
          <w:rPr>
            <w:rFonts w:ascii="宋体" w:cs="宋体"/>
            <w:noProof/>
          </w:rPr>
          <w:fldChar w:fldCharType="separate"/>
        </w:r>
        <w:r w:rsidR="00FB0F0C">
          <w:rPr>
            <w:rFonts w:ascii="宋体" w:cs="宋体"/>
            <w:noProof/>
            <w:highlight w:val="white"/>
          </w:rPr>
          <w:t>79</w:t>
        </w:r>
        <w:r w:rsidR="00653A5A">
          <w:rPr>
            <w:rFonts w:ascii="宋体" w:cs="宋体"/>
            <w:noProof/>
          </w:rPr>
          <w:fldChar w:fldCharType="end"/>
        </w:r>
      </w:hyperlink>
    </w:p>
    <w:p w:rsidR="009C732C">
      <w:pPr>
        <w:pStyle w:val="TOC1"/>
        <w:rPr>
          <w:rFonts w:ascii="宋体" w:cs="宋体"/>
          <w:noProof/>
        </w:rPr>
      </w:pPr>
      <w:hyperlink w:anchor="_Toc6327226" w:tooltip="Current Document" w:history="1">
        <w:r w:rsidR="00653A5A">
          <w:rPr>
            <w:rStyle w:val="Hyperlink"/>
            <w:rFonts w:ascii="宋体" w:cs="宋体" w:hint="eastAsia"/>
            <w:noProof/>
            <w:highlight w:val="white"/>
          </w:rPr>
          <w:t>第二十一部分</w:t>
        </w:r>
        <w:r w:rsidR="00653A5A">
          <w:rPr>
            <w:rStyle w:val="Hyperlink"/>
            <w:rFonts w:ascii="宋体" w:cs="宋体"/>
            <w:noProof/>
            <w:highlight w:val="white"/>
          </w:rPr>
          <w:t xml:space="preserve"> </w:t>
        </w:r>
        <w:r w:rsidR="00653A5A">
          <w:rPr>
            <w:rStyle w:val="Hyperlink"/>
            <w:rFonts w:ascii="宋体" w:cs="宋体" w:hint="eastAsia"/>
            <w:noProof/>
            <w:highlight w:val="white"/>
          </w:rPr>
          <w:t>争议的处理和适用的法律</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_Toc6327226 \h </w:instrText>
        </w:r>
        <w:r w:rsidR="00653A5A">
          <w:rPr>
            <w:rFonts w:ascii="宋体" w:cs="宋体"/>
            <w:noProof/>
          </w:rPr>
          <w:fldChar w:fldCharType="separate"/>
        </w:r>
        <w:r w:rsidR="00FB0F0C">
          <w:rPr>
            <w:rFonts w:ascii="宋体" w:cs="宋体"/>
            <w:noProof/>
            <w:highlight w:val="white"/>
          </w:rPr>
          <w:t>80</w:t>
        </w:r>
        <w:r w:rsidR="00653A5A">
          <w:rPr>
            <w:rFonts w:ascii="宋体" w:cs="宋体"/>
            <w:noProof/>
          </w:rPr>
          <w:fldChar w:fldCharType="end"/>
        </w:r>
      </w:hyperlink>
    </w:p>
    <w:p w:rsidR="009C732C">
      <w:pPr>
        <w:pStyle w:val="TOC1"/>
        <w:rPr>
          <w:rFonts w:ascii="宋体" w:cs="宋体"/>
          <w:noProof/>
        </w:rPr>
      </w:pPr>
      <w:hyperlink w:anchor="_Toc6327227" w:tooltip="Current Document" w:history="1">
        <w:r w:rsidR="00653A5A">
          <w:rPr>
            <w:rStyle w:val="Hyperlink"/>
            <w:rFonts w:ascii="宋体" w:cs="宋体" w:hint="eastAsia"/>
            <w:noProof/>
            <w:highlight w:val="white"/>
          </w:rPr>
          <w:t>第二十二部分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基金合同的效力</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_Toc6327227 \h </w:instrText>
        </w:r>
        <w:r w:rsidR="00653A5A">
          <w:rPr>
            <w:rFonts w:ascii="宋体" w:cs="宋体"/>
            <w:noProof/>
          </w:rPr>
          <w:fldChar w:fldCharType="separate"/>
        </w:r>
        <w:r w:rsidR="00FB0F0C">
          <w:rPr>
            <w:rFonts w:ascii="宋体" w:cs="宋体"/>
            <w:noProof/>
            <w:highlight w:val="white"/>
          </w:rPr>
          <w:t>81</w:t>
        </w:r>
        <w:r w:rsidR="00653A5A">
          <w:rPr>
            <w:rFonts w:ascii="宋体" w:cs="宋体"/>
            <w:noProof/>
          </w:rPr>
          <w:fldChar w:fldCharType="end"/>
        </w:r>
      </w:hyperlink>
    </w:p>
    <w:p w:rsidR="009C732C">
      <w:pPr>
        <w:pStyle w:val="TOC1"/>
        <w:rPr>
          <w:rFonts w:ascii="宋体" w:cs="宋体"/>
          <w:noProof/>
        </w:rPr>
      </w:pPr>
      <w:hyperlink w:anchor="_Toc6327228" w:tooltip="Current Document" w:history="1">
        <w:r w:rsidR="00653A5A">
          <w:rPr>
            <w:rStyle w:val="Hyperlink"/>
            <w:rFonts w:ascii="宋体" w:cs="宋体" w:hint="eastAsia"/>
            <w:noProof/>
            <w:highlight w:val="white"/>
          </w:rPr>
          <w:t>第二十三部分</w:t>
        </w:r>
        <w:r w:rsidR="00653A5A">
          <w:rPr>
            <w:rStyle w:val="Hyperlink"/>
            <w:rFonts w:ascii="宋体" w:cs="宋体"/>
            <w:noProof/>
            <w:highlight w:val="white"/>
          </w:rPr>
          <w:t xml:space="preserve"> </w:t>
        </w:r>
        <w:r w:rsidR="00653A5A">
          <w:rPr>
            <w:rStyle w:val="Hyperlink"/>
            <w:rFonts w:ascii="宋体" w:cs="宋体" w:hint="eastAsia"/>
            <w:noProof/>
            <w:highlight w:val="white"/>
          </w:rPr>
          <w:t>其他事项</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_Toc6327228 \h </w:instrText>
        </w:r>
        <w:r w:rsidR="00653A5A">
          <w:rPr>
            <w:rFonts w:ascii="宋体" w:cs="宋体"/>
            <w:noProof/>
          </w:rPr>
          <w:fldChar w:fldCharType="separate"/>
        </w:r>
        <w:r w:rsidR="00FB0F0C">
          <w:rPr>
            <w:rFonts w:ascii="宋体" w:cs="宋体"/>
            <w:noProof/>
            <w:highlight w:val="white"/>
          </w:rPr>
          <w:t>82</w:t>
        </w:r>
        <w:r w:rsidR="00653A5A">
          <w:rPr>
            <w:rFonts w:ascii="宋体" w:cs="宋体"/>
            <w:noProof/>
          </w:rPr>
          <w:fldChar w:fldCharType="end"/>
        </w:r>
      </w:hyperlink>
    </w:p>
    <w:p w:rsidR="009C732C">
      <w:pPr>
        <w:pStyle w:val="TOC1"/>
        <w:rPr>
          <w:rFonts w:ascii="宋体" w:cs="宋体"/>
          <w:noProof/>
        </w:rPr>
      </w:pPr>
      <w:hyperlink w:anchor="_Toc6327229" w:tooltip="Current Document" w:history="1">
        <w:r w:rsidR="00653A5A">
          <w:rPr>
            <w:rStyle w:val="Hyperlink"/>
            <w:rFonts w:ascii="宋体" w:cs="宋体" w:hint="eastAsia"/>
            <w:noProof/>
            <w:highlight w:val="white"/>
          </w:rPr>
          <w:t>第二十四部分</w:t>
        </w:r>
        <w:r w:rsidR="00653A5A">
          <w:rPr>
            <w:rStyle w:val="Hyperlink"/>
            <w:rFonts w:ascii="宋体" w:cs="宋体"/>
            <w:noProof/>
            <w:highlight w:val="white"/>
          </w:rPr>
          <w:t xml:space="preserve"> </w:t>
        </w:r>
        <w:r w:rsidR="00653A5A">
          <w:rPr>
            <w:rStyle w:val="Hyperlink"/>
            <w:rFonts w:ascii="宋体" w:cs="宋体" w:hint="eastAsia"/>
            <w:noProof/>
            <w:highlight w:val="white"/>
          </w:rPr>
          <w:t>基金合同内容摘要</w:t>
        </w:r>
        <w:r w:rsidR="00653A5A">
          <w:rPr>
            <w:rFonts w:ascii="宋体" w:cs="宋体"/>
            <w:noProof/>
            <w:highlight w:val="white"/>
          </w:rPr>
          <w:tab/>
        </w:r>
        <w:r w:rsidR="00653A5A">
          <w:rPr>
            <w:rFonts w:ascii="宋体" w:cs="宋体"/>
            <w:noProof/>
          </w:rPr>
          <w:fldChar w:fldCharType="begin"/>
        </w:r>
        <w:r w:rsidR="00653A5A">
          <w:rPr>
            <w:rFonts w:ascii="宋体" w:cs="宋体"/>
            <w:noProof/>
            <w:highlight w:val="white"/>
          </w:rPr>
          <w:instrText xml:space="preserve"> PAGEREF _Toc6327229 \h </w:instrText>
        </w:r>
        <w:r w:rsidR="00653A5A">
          <w:rPr>
            <w:rFonts w:ascii="宋体" w:cs="宋体"/>
            <w:noProof/>
          </w:rPr>
          <w:fldChar w:fldCharType="separate"/>
        </w:r>
        <w:r w:rsidR="00FB0F0C">
          <w:rPr>
            <w:rFonts w:ascii="宋体" w:cs="宋体"/>
            <w:noProof/>
            <w:highlight w:val="white"/>
          </w:rPr>
          <w:t>83</w:t>
        </w:r>
        <w:r w:rsidR="00653A5A">
          <w:rPr>
            <w:rFonts w:ascii="宋体" w:cs="宋体"/>
            <w:noProof/>
          </w:rPr>
          <w:fldChar w:fldCharType="end"/>
        </w:r>
      </w:hyperlink>
    </w:p>
    <w:p w:rsidR="009C732C">
      <w:pPr>
        <w:pStyle w:val="11"/>
        <w:spacing w:before="0" w:after="0"/>
        <w:jc w:val="left"/>
        <w:rPr>
          <w:rFonts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4" w:name="_Toc6306"/>
      <w:bookmarkStart w:id="25" w:name="_Toc23386"/>
      <w:bookmarkStart w:id="26" w:name="_Toc139991730"/>
      <w:bookmarkStart w:id="27" w:name="_Toc4867"/>
      <w:bookmarkStart w:id="28" w:name="_Toc8727"/>
      <w:bookmarkStart w:id="29" w:name="_Toc15517"/>
      <w:bookmarkStart w:id="30" w:name="_Toc4966"/>
      <w:bookmarkStart w:id="31" w:name="_Toc32639"/>
      <w:bookmarkStart w:id="32" w:name="_Toc29629"/>
      <w:bookmarkStart w:id="33" w:name="_Toc26897"/>
      <w:bookmarkStart w:id="34" w:name="_Toc141703880"/>
      <w:bookmarkStart w:id="35" w:name="_Toc30935"/>
      <w:bookmarkStart w:id="36" w:name="_Toc123701389"/>
      <w:bookmarkStart w:id="37" w:name="_Toc123112229"/>
      <w:bookmarkStart w:id="38" w:name="_Toc123112268"/>
      <w:bookmarkStart w:id="39" w:name="_Toc233456271"/>
      <w:bookmarkEnd w:id="22"/>
    </w:p>
    <w:p w:rsidR="009C732C">
      <w:pPr>
        <w:pStyle w:val="11"/>
        <w:spacing w:before="0" w:after="0"/>
        <w:jc w:val="center"/>
        <w:rPr>
          <w:rFonts w:cs="宋体"/>
          <w:color w:val="auto"/>
          <w:sz w:val="30"/>
          <w:lang w:eastAsia="zh-CN"/>
        </w:rPr>
      </w:pPr>
      <w:bookmarkStart w:id="40" w:name="CTS_d8cf30113149458b8b8ff72e32adb333"/>
      <w:bookmarkStart w:id="41" w:name="_Toc446339239"/>
      <w:bookmarkStart w:id="42" w:name="_Toc11660"/>
      <w:bookmarkStart w:id="43" w:name="_Toc6327206"/>
      <w:bookmarkStart w:id="44" w:name="CLAUSE_d8cf30113149458b8b8ff72e32adb333"/>
      <w:bookmarkEnd w:id="40"/>
      <w:r>
        <w:rPr>
          <w:rFonts w:cs="宋体" w:hint="eastAsia"/>
          <w:color w:val="auto"/>
          <w:sz w:val="30"/>
          <w:highlight w:val="white"/>
          <w:lang w:eastAsia="zh-CN"/>
        </w:rPr>
        <w:t>第一部分</w:t>
      </w:r>
      <w:r>
        <w:rPr>
          <w:rFonts w:cs="宋体"/>
          <w:sz w:val="30"/>
          <w:highlight w:val="white"/>
          <w:lang w:eastAsia="zh-CN"/>
        </w:rPr>
        <w:t xml:space="preserve"> </w:t>
      </w:r>
      <w:r>
        <w:rPr>
          <w:rFonts w:cs="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rsidR="009C732C">
      <w:pPr>
        <w:spacing w:line="360" w:lineRule="auto"/>
        <w:rPr>
          <w:rFonts w:ascii="宋体" w:cs="宋体"/>
          <w:lang w:eastAsia="zh-CN"/>
        </w:rPr>
      </w:pPr>
      <w:bookmarkStart w:id="45" w:name="_Toc139991731"/>
      <w:bookmarkEnd w:id="36"/>
      <w:bookmarkEnd w:id="37"/>
      <w:bookmarkEnd w:id="38"/>
      <w:bookmarkEnd w:id="45"/>
    </w:p>
    <w:p w:rsidR="009C732C">
      <w:pPr>
        <w:spacing w:line="360" w:lineRule="auto"/>
        <w:ind w:firstLine="480"/>
        <w:rPr>
          <w:rFonts w:ascii="宋体" w:cs="宋体"/>
          <w:sz w:val="24"/>
          <w:lang w:eastAsia="zh-CN"/>
        </w:rPr>
      </w:pPr>
      <w:bookmarkStart w:id="46" w:name="_Toc258829399"/>
      <w:r>
        <w:rPr>
          <w:rFonts w:ascii="宋体" w:cs="宋体" w:hint="eastAsia"/>
          <w:sz w:val="24"/>
          <w:highlight w:val="white"/>
          <w:lang w:eastAsia="zh-CN"/>
        </w:rPr>
        <w:t>一、订立本基金合同的目的、依据和原则</w:t>
      </w:r>
    </w:p>
    <w:p w:rsidR="009C732C">
      <w:pPr>
        <w:spacing w:line="360" w:lineRule="auto"/>
        <w:ind w:firstLine="480"/>
        <w:rPr>
          <w:rFonts w:ascii="宋体" w:cs="宋体"/>
          <w:sz w:val="24"/>
          <w:lang w:eastAsia="zh-CN"/>
        </w:rPr>
      </w:pPr>
      <w:r>
        <w:rPr>
          <w:rFonts w:ascii="宋体" w:cs="宋体"/>
          <w:sz w:val="24"/>
          <w:highlight w:val="white"/>
          <w:lang w:eastAsia="zh-CN"/>
        </w:rPr>
        <w:t>1</w:t>
      </w:r>
      <w:r>
        <w:rPr>
          <w:rFonts w:ascii="宋体" w:cs="宋体" w:hint="eastAsia"/>
          <w:sz w:val="24"/>
          <w:highlight w:val="white"/>
          <w:lang w:eastAsia="zh-CN"/>
        </w:rPr>
        <w:t>、订立本基金合同的目的是保护投资人合法权益，明确基金合同当事人的权利义务，规范基金运作。</w:t>
      </w:r>
    </w:p>
    <w:p w:rsidR="009C732C">
      <w:pPr>
        <w:spacing w:line="360" w:lineRule="auto"/>
        <w:ind w:firstLine="480"/>
        <w:rPr>
          <w:rFonts w:ascii="宋体" w:cs="宋体"/>
          <w:sz w:val="24"/>
          <w:lang w:eastAsia="zh-CN"/>
        </w:rPr>
      </w:pPr>
      <w:r>
        <w:rPr>
          <w:rFonts w:ascii="宋体" w:cs="宋体"/>
          <w:sz w:val="24"/>
          <w:highlight w:val="white"/>
          <w:lang w:eastAsia="zh-CN"/>
        </w:rPr>
        <w:t>2</w:t>
      </w:r>
      <w:r>
        <w:rPr>
          <w:rFonts w:ascii="宋体" w:cs="宋体" w:hint="eastAsia"/>
          <w:sz w:val="24"/>
          <w:highlight w:val="white"/>
          <w:lang w:eastAsia="zh-CN"/>
        </w:rPr>
        <w:t>、订立本基金合同的依据是《中华人民共和国民法典》、《中华人民共和国证券投资基金法》</w:t>
      </w:r>
      <w:r>
        <w:rPr>
          <w:rFonts w:ascii="宋体" w:cs="宋体" w:hint="eastAsia"/>
          <w:bCs/>
          <w:sz w:val="24"/>
          <w:highlight w:val="white"/>
          <w:lang w:eastAsia="zh-CN"/>
        </w:rPr>
        <w:t>（</w:t>
      </w:r>
      <w:r>
        <w:rPr>
          <w:rFonts w:ascii="宋体" w:cs="宋体" w:hint="eastAsia"/>
          <w:sz w:val="24"/>
          <w:highlight w:val="white"/>
          <w:lang w:eastAsia="zh-CN"/>
        </w:rPr>
        <w:t>以下简称“《基金法》”</w:t>
      </w:r>
      <w:r>
        <w:rPr>
          <w:rFonts w:ascii="宋体" w:cs="宋体" w:hint="eastAsia"/>
          <w:bCs/>
          <w:sz w:val="24"/>
          <w:highlight w:val="white"/>
          <w:lang w:eastAsia="zh-CN"/>
        </w:rPr>
        <w:t>）</w:t>
      </w:r>
      <w:r>
        <w:rPr>
          <w:rFonts w:ascii="宋体" w:cs="宋体" w:hint="eastAsia"/>
          <w:sz w:val="24"/>
          <w:highlight w:val="white"/>
          <w:lang w:eastAsia="zh-CN"/>
        </w:rPr>
        <w:t>、《公开募集证券投资基金运作管理办法》</w:t>
      </w:r>
      <w:r>
        <w:rPr>
          <w:rFonts w:ascii="宋体" w:cs="宋体" w:hint="eastAsia"/>
          <w:bCs/>
          <w:sz w:val="24"/>
          <w:highlight w:val="white"/>
          <w:lang w:eastAsia="zh-CN"/>
        </w:rPr>
        <w:t>（</w:t>
      </w:r>
      <w:r>
        <w:rPr>
          <w:rFonts w:asci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cs="宋体" w:hint="eastAsia"/>
          <w:bCs/>
          <w:sz w:val="24"/>
          <w:highlight w:val="white"/>
          <w:lang w:eastAsia="zh-CN"/>
        </w:rPr>
        <w:t>（</w:t>
      </w:r>
      <w:r>
        <w:rPr>
          <w:rFonts w:ascii="宋体" w:cs="宋体" w:hint="eastAsia"/>
          <w:sz w:val="24"/>
          <w:highlight w:val="white"/>
          <w:lang w:eastAsia="zh-CN"/>
        </w:rPr>
        <w:t>以下简称“《信息披露办法》”</w:t>
      </w:r>
      <w:r>
        <w:rPr>
          <w:rFonts w:ascii="宋体" w:cs="宋体" w:hint="eastAsia"/>
          <w:bCs/>
          <w:sz w:val="24"/>
          <w:highlight w:val="white"/>
          <w:lang w:eastAsia="zh-CN"/>
        </w:rPr>
        <w:t>）</w:t>
      </w:r>
      <w:r>
        <w:rPr>
          <w:rFonts w:ascii="宋体" w:cs="宋体" w:hint="eastAsia"/>
          <w:sz w:val="24"/>
          <w:highlight w:val="white"/>
          <w:lang w:eastAsia="zh-CN"/>
        </w:rPr>
        <w:t>、</w:t>
      </w:r>
      <w:r>
        <w:rPr>
          <w:rFonts w:ascii="宋体" w:cs="宋体"/>
          <w:bCs/>
          <w:sz w:val="24"/>
          <w:highlight w:val="white"/>
          <w:lang w:eastAsia="zh-CN"/>
        </w:rPr>
        <w:t>《</w:t>
      </w:r>
      <w:r>
        <w:rPr>
          <w:rFonts w:ascii="宋体" w:cs="宋体" w:hint="eastAsia"/>
          <w:bCs/>
          <w:sz w:val="24"/>
          <w:highlight w:val="white"/>
          <w:lang w:eastAsia="zh-CN"/>
        </w:rPr>
        <w:t>公开募集开放式证券投资基金流动性风险管理规定</w:t>
      </w:r>
      <w:r>
        <w:rPr>
          <w:rFonts w:ascii="宋体" w:cs="宋体"/>
          <w:bCs/>
          <w:sz w:val="24"/>
          <w:highlight w:val="white"/>
          <w:lang w:eastAsia="zh-CN"/>
        </w:rPr>
        <w:t>》</w:t>
      </w:r>
      <w:r>
        <w:rPr>
          <w:rFonts w:ascii="宋体" w:cs="宋体" w:hint="eastAsia"/>
          <w:bCs/>
          <w:sz w:val="24"/>
          <w:highlight w:val="white"/>
          <w:lang w:eastAsia="zh-CN"/>
        </w:rPr>
        <w:t>（</w:t>
      </w:r>
      <w:r>
        <w:rPr>
          <w:rFonts w:ascii="宋体" w:cs="宋体"/>
          <w:bCs/>
          <w:sz w:val="24"/>
          <w:highlight w:val="white"/>
          <w:lang w:eastAsia="zh-CN"/>
        </w:rPr>
        <w:t>以下简称</w:t>
      </w:r>
      <w:r>
        <w:rPr>
          <w:rFonts w:ascii="宋体" w:cs="宋体" w:hint="eastAsia"/>
          <w:sz w:val="24"/>
          <w:highlight w:val="white"/>
          <w:lang w:eastAsia="zh-CN"/>
        </w:rPr>
        <w:t>“</w:t>
      </w:r>
      <w:r>
        <w:rPr>
          <w:rFonts w:ascii="宋体" w:cs="宋体" w:hint="eastAsia"/>
          <w:bCs/>
          <w:sz w:val="24"/>
          <w:highlight w:val="white"/>
          <w:lang w:eastAsia="zh-CN"/>
        </w:rPr>
        <w:t>《流动性风险管理规定》</w:t>
      </w:r>
      <w:r>
        <w:rPr>
          <w:rFonts w:ascii="宋体" w:cs="宋体" w:hint="eastAsia"/>
          <w:sz w:val="24"/>
          <w:highlight w:val="white"/>
          <w:lang w:eastAsia="zh-CN"/>
        </w:rPr>
        <w:t>”</w:t>
      </w:r>
      <w:r>
        <w:rPr>
          <w:rFonts w:ascii="宋体" w:cs="宋体" w:hint="eastAsia"/>
          <w:bCs/>
          <w:sz w:val="24"/>
          <w:highlight w:val="white"/>
          <w:lang w:eastAsia="zh-CN"/>
        </w:rPr>
        <w:t>）、</w:t>
      </w:r>
      <w:r>
        <w:rPr>
          <w:rFonts w:ascii="宋体" w:cs="宋体"/>
          <w:sz w:val="24"/>
          <w:highlight w:val="white"/>
          <w:lang w:eastAsia="zh-CN"/>
        </w:rPr>
        <w:t>《公开募集证券投资基金运作指引第3号</w:t>
      </w:r>
      <w:r>
        <w:rPr>
          <w:rFonts w:ascii="宋体" w:cs="宋体"/>
          <w:sz w:val="24"/>
          <w:highlight w:val="white"/>
          <w:lang w:eastAsia="zh-CN"/>
        </w:rPr>
        <w:t>——</w:t>
      </w:r>
      <w:r>
        <w:rPr>
          <w:rFonts w:ascii="宋体" w:cs="宋体"/>
          <w:sz w:val="24"/>
          <w:highlight w:val="white"/>
          <w:lang w:eastAsia="zh-CN"/>
        </w:rPr>
        <w:t>指数基金指引》（以下简称</w:t>
      </w:r>
      <w:r>
        <w:rPr>
          <w:rFonts w:ascii="宋体" w:cs="宋体"/>
          <w:sz w:val="24"/>
          <w:highlight w:val="white"/>
          <w:lang w:eastAsia="zh-CN"/>
        </w:rPr>
        <w:t>“</w:t>
      </w:r>
      <w:r>
        <w:rPr>
          <w:rFonts w:ascii="宋体" w:cs="宋体"/>
          <w:sz w:val="24"/>
          <w:highlight w:val="white"/>
          <w:lang w:eastAsia="zh-CN"/>
        </w:rPr>
        <w:t>《指数基金指引》</w:t>
      </w:r>
      <w:r>
        <w:rPr>
          <w:rFonts w:ascii="宋体" w:cs="宋体"/>
          <w:sz w:val="24"/>
          <w:highlight w:val="white"/>
          <w:lang w:eastAsia="zh-CN"/>
        </w:rPr>
        <w:t>”</w:t>
      </w:r>
      <w:r>
        <w:rPr>
          <w:rFonts w:ascii="宋体" w:cs="宋体"/>
          <w:sz w:val="24"/>
          <w:highlight w:val="white"/>
          <w:lang w:eastAsia="zh-CN"/>
        </w:rPr>
        <w:t>）和其他有关法律法规。</w:t>
      </w:r>
    </w:p>
    <w:p w:rsidR="009C732C">
      <w:pPr>
        <w:spacing w:line="360" w:lineRule="auto"/>
        <w:ind w:firstLine="480"/>
        <w:rPr>
          <w:rFonts w:ascii="宋体" w:cs="宋体"/>
          <w:sz w:val="24"/>
          <w:lang w:eastAsia="zh-CN"/>
        </w:rPr>
      </w:pPr>
      <w:r>
        <w:rPr>
          <w:rFonts w:ascii="宋体" w:cs="宋体"/>
          <w:sz w:val="24"/>
          <w:highlight w:val="white"/>
          <w:lang w:eastAsia="zh-CN"/>
        </w:rPr>
        <w:t>3</w:t>
      </w:r>
      <w:r>
        <w:rPr>
          <w:rFonts w:ascii="宋体" w:cs="宋体" w:hint="eastAsia"/>
          <w:sz w:val="24"/>
          <w:highlight w:val="white"/>
          <w:lang w:eastAsia="zh-CN"/>
        </w:rPr>
        <w:t>、订立本基金合同的原则是平等自愿、诚实信用、充分保护投资人合法权益。</w:t>
      </w:r>
    </w:p>
    <w:p w:rsidR="009C732C">
      <w:pPr>
        <w:spacing w:line="360" w:lineRule="auto"/>
        <w:ind w:firstLine="480"/>
        <w:rPr>
          <w:rFonts w:ascii="宋体" w:cs="宋体"/>
          <w:sz w:val="24"/>
          <w:lang w:eastAsia="zh-CN"/>
        </w:rPr>
      </w:pPr>
      <w:r>
        <w:rPr>
          <w:rFonts w:asci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C732C">
      <w:pPr>
        <w:spacing w:line="360" w:lineRule="auto"/>
        <w:ind w:firstLine="480"/>
        <w:rPr>
          <w:rFonts w:ascii="宋体" w:cs="宋体"/>
          <w:lang w:eastAsia="zh-CN"/>
        </w:rPr>
      </w:pPr>
      <w:r>
        <w:rPr>
          <w:rFonts w:asci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C732C">
      <w:pPr>
        <w:spacing w:line="360" w:lineRule="auto"/>
        <w:ind w:firstLine="480"/>
        <w:rPr>
          <w:rFonts w:ascii="宋体" w:cs="宋体"/>
          <w:sz w:val="24"/>
          <w:lang w:eastAsia="zh-CN"/>
        </w:rPr>
      </w:pPr>
      <w:r>
        <w:rPr>
          <w:rFonts w:ascii="宋体" w:cs="宋体" w:hint="eastAsia"/>
          <w:sz w:val="24"/>
          <w:highlight w:val="white"/>
          <w:lang w:eastAsia="zh-CN"/>
        </w:rPr>
        <w:t>三、</w:t>
      </w:r>
      <w:r>
        <w:rPr>
          <w:rFonts w:ascii="宋体" w:cs="宋体"/>
          <w:sz w:val="24"/>
          <w:lang w:eastAsia="zh-CN"/>
        </w:rPr>
        <w:t>易方达国证机器人产业交易型开放式指数证券投资基金发起式联接基金</w:t>
      </w:r>
      <w:r>
        <w:rPr>
          <w:rFonts w:ascii="宋体" w:cs="宋体"/>
          <w:sz w:val="24"/>
          <w:highlight w:val="white"/>
          <w:lang w:eastAsia="zh-CN"/>
        </w:rPr>
        <w:t>由基金管理人依照</w:t>
      </w:r>
      <w:r>
        <w:rPr>
          <w:rFonts w:ascii="宋体" w:cs="宋体" w:hint="eastAsia"/>
          <w:sz w:val="24"/>
          <w:highlight w:val="white"/>
          <w:lang w:eastAsia="zh-CN"/>
        </w:rPr>
        <w:t>《基金法》、基金合同及其他有关规定募集，并经中国证券监督管理委员会（以下简称“中国证监会”）注册。</w:t>
      </w:r>
    </w:p>
    <w:p w:rsidR="009C732C">
      <w:pPr>
        <w:spacing w:line="360" w:lineRule="auto"/>
        <w:ind w:firstLine="480"/>
        <w:rPr>
          <w:rFonts w:ascii="宋体" w:cs="宋体"/>
          <w:sz w:val="24"/>
          <w:lang w:eastAsia="zh-CN"/>
        </w:rPr>
      </w:pPr>
      <w:r>
        <w:rPr>
          <w:rFonts w:ascii="宋体" w:cs="宋体" w:hint="eastAsia"/>
          <w:sz w:val="24"/>
          <w:highlight w:val="white"/>
          <w:lang w:eastAsia="zh-CN"/>
        </w:rPr>
        <w:t>中国证监会对本基金募集的注册，并不表明其对本基金的</w:t>
      </w:r>
      <w:r>
        <w:rPr>
          <w:rFonts w:ascii="宋体" w:cs="宋体" w:hint="eastAsia"/>
          <w:bCs/>
          <w:sz w:val="24"/>
          <w:highlight w:val="white"/>
          <w:lang w:eastAsia="zh-CN"/>
        </w:rPr>
        <w:t>投资</w:t>
      </w:r>
      <w:r>
        <w:rPr>
          <w:rFonts w:ascii="宋体" w:cs="宋体" w:hint="eastAsia"/>
          <w:sz w:val="24"/>
          <w:highlight w:val="white"/>
          <w:lang w:eastAsia="zh-CN"/>
        </w:rPr>
        <w:t>价值</w:t>
      </w:r>
      <w:r>
        <w:rPr>
          <w:rFonts w:ascii="宋体" w:cs="宋体" w:hint="eastAsia"/>
          <w:bCs/>
          <w:sz w:val="24"/>
          <w:highlight w:val="white"/>
          <w:lang w:eastAsia="zh-CN"/>
        </w:rPr>
        <w:t>、市场前景</w:t>
      </w:r>
      <w:r>
        <w:rPr>
          <w:rFonts w:ascii="宋体" w:cs="宋体" w:hint="eastAsia"/>
          <w:sz w:val="24"/>
          <w:highlight w:val="white"/>
          <w:lang w:eastAsia="zh-CN"/>
        </w:rPr>
        <w:t>和</w:t>
      </w:r>
      <w:r>
        <w:rPr>
          <w:rFonts w:ascii="宋体" w:cs="宋体" w:hint="eastAsia"/>
          <w:bCs/>
          <w:color w:val="000000"/>
          <w:sz w:val="24"/>
          <w:highlight w:val="white"/>
          <w:lang w:eastAsia="zh-CN"/>
        </w:rPr>
        <w:t>收益</w:t>
      </w:r>
      <w:r>
        <w:rPr>
          <w:rFonts w:ascii="宋体" w:cs="宋体" w:hint="eastAsia"/>
          <w:sz w:val="24"/>
          <w:highlight w:val="white"/>
          <w:lang w:eastAsia="zh-CN"/>
        </w:rPr>
        <w:t>做出实质性判断或保证，也不表明投资于本基金没有风险。</w:t>
      </w:r>
    </w:p>
    <w:p w:rsidR="009C732C">
      <w:pPr>
        <w:spacing w:line="360" w:lineRule="auto"/>
        <w:ind w:firstLine="480"/>
        <w:rPr>
          <w:rFonts w:ascii="宋体" w:cs="宋体"/>
          <w:sz w:val="24"/>
          <w:lang w:eastAsia="zh-CN"/>
        </w:rPr>
      </w:pPr>
      <w:r>
        <w:rPr>
          <w:rFonts w:ascii="宋体" w:cs="宋体" w:hint="eastAsia"/>
          <w:sz w:val="24"/>
          <w:highlight w:val="white"/>
          <w:lang w:eastAsia="zh-CN"/>
        </w:rPr>
        <w:t>基金管理人依照恪尽职守、诚实信用、谨慎勤勉的原则管理和运用基金财产，但不保证投资于本基金一定盈利，也不保证最低收益。</w:t>
      </w:r>
    </w:p>
    <w:p w:rsidR="009C732C">
      <w:pPr>
        <w:spacing w:line="360" w:lineRule="auto"/>
        <w:ind w:firstLine="480"/>
        <w:rPr>
          <w:rFonts w:ascii="宋体" w:cs="宋体"/>
          <w:b/>
          <w:u w:val="single"/>
          <w:lang w:eastAsia="zh-CN"/>
        </w:rPr>
      </w:pPr>
      <w:r>
        <w:rPr>
          <w:rFonts w:ascii="宋体" w:cs="宋体"/>
          <w:bCs/>
          <w:sz w:val="24"/>
          <w:highlight w:val="white"/>
          <w:lang w:eastAsia="zh-CN"/>
        </w:rPr>
        <w:t>投资者应当认真阅读基金招募说明书、基金合同、</w:t>
      </w:r>
      <w:r>
        <w:rPr>
          <w:rFonts w:ascii="宋体" w:cs="宋体" w:hint="eastAsia"/>
          <w:bCs/>
          <w:sz w:val="24"/>
          <w:highlight w:val="white"/>
          <w:lang w:eastAsia="zh-CN"/>
        </w:rPr>
        <w:t>基金产品资料概要</w:t>
      </w:r>
      <w:r>
        <w:rPr>
          <w:rFonts w:ascii="宋体" w:cs="宋体"/>
          <w:bCs/>
          <w:sz w:val="24"/>
          <w:highlight w:val="white"/>
          <w:lang w:eastAsia="zh-CN"/>
        </w:rPr>
        <w:t>等信息披露文件，自主判断基金的投资价值，自主做出投资决策，自行承担投资风险。</w:t>
      </w:r>
    </w:p>
    <w:p w:rsidR="009C732C">
      <w:pPr>
        <w:spacing w:line="360" w:lineRule="auto"/>
        <w:ind w:firstLine="480"/>
        <w:rPr>
          <w:rFonts w:ascii="宋体" w:cs="宋体"/>
          <w:sz w:val="24"/>
          <w:lang w:eastAsia="zh-CN"/>
        </w:rPr>
      </w:pPr>
      <w:r>
        <w:rPr>
          <w:rFonts w:asci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9C732C">
      <w:pPr>
        <w:spacing w:line="360" w:lineRule="auto"/>
        <w:ind w:firstLine="480"/>
        <w:rPr>
          <w:rFonts w:ascii="宋体" w:cs="宋体"/>
          <w:sz w:val="24"/>
          <w:lang w:eastAsia="zh-CN"/>
        </w:rPr>
      </w:pPr>
      <w:r>
        <w:rPr>
          <w:rFonts w:asci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9C732C">
      <w:pPr>
        <w:spacing w:line="360" w:lineRule="auto"/>
        <w:ind w:firstLine="480"/>
        <w:rPr>
          <w:rFonts w:ascii="宋体" w:cs="宋体"/>
          <w:sz w:val="24"/>
          <w:lang w:eastAsia="zh-CN"/>
        </w:rPr>
      </w:pPr>
      <w:r>
        <w:rPr>
          <w:rFonts w:asci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9C732C">
      <w:pPr>
        <w:spacing w:line="360" w:lineRule="auto"/>
        <w:ind w:firstLine="480"/>
        <w:rPr>
          <w:rFonts w:ascii="宋体" w:cs="宋体"/>
          <w:sz w:val="24"/>
          <w:lang w:eastAsia="zh-CN"/>
        </w:rPr>
      </w:pPr>
      <w:r>
        <w:rPr>
          <w:rFonts w:ascii="宋体" w:cs="宋体" w:hint="eastAsia"/>
          <w:sz w:val="24"/>
          <w:highlight w:val="white"/>
          <w:lang w:eastAsia="zh-CN"/>
        </w:rPr>
        <w:t>六、</w:t>
      </w:r>
      <w:r>
        <w:rPr>
          <w:rFonts w:ascii="宋体" w:cs="宋体" w:hint="eastAsia"/>
          <w:bCs/>
          <w:sz w:val="24"/>
          <w:highlight w:val="white"/>
          <w:lang w:eastAsia="zh-CN"/>
        </w:rPr>
        <w:t>本基金的投资范围包括存托凭证，</w:t>
      </w:r>
      <w:r>
        <w:rPr>
          <w:rFonts w:ascii="宋体" w:cs="宋体"/>
          <w:sz w:val="24"/>
          <w:highlight w:val="white"/>
          <w:lang w:eastAsia="zh-CN"/>
        </w:rPr>
        <w:t>除与其他投资于股票的基金所面临的共同风险外</w:t>
      </w:r>
      <w:r>
        <w:rPr>
          <w:rFonts w:ascii="宋体" w:cs="宋体"/>
          <w:bCs/>
          <w:sz w:val="24"/>
          <w:highlight w:val="white"/>
          <w:lang w:eastAsia="zh-CN"/>
        </w:rPr>
        <w:t>，本基金还将面临投资存托凭证的特殊风险，详见本基金招募说明书</w:t>
      </w:r>
      <w:r>
        <w:rPr>
          <w:rFonts w:ascii="宋体" w:cs="宋体" w:hint="eastAsia"/>
          <w:sz w:val="24"/>
          <w:highlight w:val="white"/>
          <w:lang w:eastAsia="zh-CN"/>
        </w:rPr>
        <w:t>。</w:t>
      </w:r>
    </w:p>
    <w:p w:rsidR="009C732C">
      <w:pPr>
        <w:pStyle w:val="11"/>
        <w:spacing w:before="0" w:after="0"/>
        <w:jc w:val="center"/>
        <w:rPr>
          <w:rFonts w:cs="宋体"/>
          <w:color w:val="auto"/>
          <w:sz w:val="30"/>
          <w:lang w:eastAsia="zh-CN"/>
        </w:rPr>
      </w:pPr>
      <w:r>
        <w:rPr>
          <w:rFonts w:cs="宋体"/>
          <w:b w:val="0"/>
          <w:sz w:val="21"/>
          <w:highlight w:val="white"/>
          <w:lang w:eastAsia="zh-CN"/>
        </w:rPr>
        <w:br w:type="page"/>
      </w:r>
      <w:bookmarkStart w:id="47" w:name="_Toc446339240"/>
      <w:bookmarkStart w:id="48" w:name="_Toc6327207"/>
      <w:bookmarkStart w:id="49" w:name="_Toc31551"/>
      <w:r>
        <w:rPr>
          <w:rFonts w:cs="宋体" w:hint="eastAsia"/>
          <w:sz w:val="30"/>
          <w:highlight w:val="white"/>
          <w:lang w:eastAsia="zh-CN"/>
        </w:rPr>
        <w:t>第二部分</w:t>
      </w:r>
      <w:r>
        <w:rPr>
          <w:rFonts w:cs="宋体"/>
          <w:sz w:val="30"/>
          <w:highlight w:val="white"/>
          <w:lang w:eastAsia="zh-CN"/>
        </w:rPr>
        <w:t xml:space="preserve"> </w:t>
      </w:r>
      <w:bookmarkStart w:id="50" w:name="_Toc15067"/>
      <w:bookmarkStart w:id="51" w:name="_Toc22864"/>
      <w:bookmarkStart w:id="52" w:name="_Toc6617"/>
      <w:bookmarkStart w:id="53" w:name="_Toc24860"/>
      <w:bookmarkStart w:id="54" w:name="_Toc3224"/>
      <w:bookmarkStart w:id="55" w:name="_Toc2465"/>
      <w:bookmarkStart w:id="56" w:name="_Toc19592"/>
      <w:bookmarkStart w:id="57" w:name="_Toc21301"/>
      <w:bookmarkStart w:id="58" w:name="_Toc819"/>
      <w:bookmarkStart w:id="59" w:name="_Toc13020"/>
      <w:r>
        <w:rPr>
          <w:rFonts w:cs="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C732C">
      <w:pPr>
        <w:spacing w:line="360" w:lineRule="auto"/>
        <w:ind w:firstLine="42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在本基金合同中，除非文意另有所指，下列词语或简称具有如下含义：</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、基金或本基金：</w:t>
      </w:r>
      <w:r>
        <w:rPr>
          <w:rFonts w:ascii="宋体" w:cs="宋体"/>
          <w:sz w:val="24"/>
          <w:szCs w:val="24"/>
          <w:highlight w:val="white"/>
          <w:lang w:eastAsia="zh-CN"/>
        </w:rPr>
        <w:t>指</w:t>
      </w:r>
      <w:r>
        <w:rPr>
          <w:rFonts w:ascii="宋体" w:cs="宋体" w:hint="eastAsia"/>
          <w:sz w:val="24"/>
          <w:szCs w:val="24"/>
          <w:lang w:eastAsia="zh-CN"/>
        </w:rPr>
        <w:t>易方达国证机器人产业交易型开放式指数证券投资基金发起式联接基金</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w:t>
      </w:r>
      <w:r>
        <w:rPr>
          <w:rFonts w:ascii="宋体" w:cs="宋体"/>
          <w:sz w:val="24"/>
          <w:szCs w:val="24"/>
          <w:highlight w:val="white"/>
          <w:lang w:eastAsia="zh-CN"/>
        </w:rPr>
        <w:t>指</w:t>
      </w:r>
      <w:r>
        <w:rPr>
          <w:rFonts w:ascii="宋体" w:cs="宋体" w:hint="eastAsia"/>
          <w:sz w:val="24"/>
          <w:szCs w:val="24"/>
          <w:highlight w:val="white"/>
          <w:lang w:eastAsia="zh-CN"/>
        </w:rPr>
        <w:t>易方达基金管理有限公司</w:t>
      </w:r>
      <w:r>
        <w:rPr>
          <w:rFonts w:ascii="宋体" w:cs="宋体"/>
          <w:sz w:val="24"/>
          <w:szCs w:val="24"/>
          <w:highlight w:val="white"/>
          <w:lang w:eastAsia="zh-CN"/>
        </w:rPr>
        <w:t xml:space="preserve">          </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w:t>
      </w:r>
      <w:r>
        <w:rPr>
          <w:rFonts w:ascii="宋体" w:cs="宋体"/>
          <w:sz w:val="24"/>
          <w:szCs w:val="24"/>
          <w:highlight w:val="white"/>
          <w:lang w:eastAsia="zh-CN"/>
        </w:rPr>
        <w:t>指</w:t>
      </w:r>
      <w:r>
        <w:rPr>
          <w:rFonts w:ascii="宋体" w:cs="宋体" w:hint="eastAsia"/>
          <w:sz w:val="24"/>
          <w:szCs w:val="24"/>
          <w:lang w:eastAsia="zh-CN"/>
        </w:rPr>
        <w:t>中国建设银行股份有限公司</w:t>
      </w:r>
      <w:r>
        <w:rPr>
          <w:rFonts w:ascii="宋体" w:cs="宋体" w:hint="eastAsia"/>
          <w:sz w:val="24"/>
          <w:szCs w:val="24"/>
          <w:highlight w:val="white"/>
          <w:lang w:eastAsia="zh-CN"/>
        </w:rPr>
        <w:t xml:space="preserve"> </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4、基金合同或本基金合同：指</w:t>
      </w:r>
      <w:r>
        <w:rPr>
          <w:rFonts w:ascii="宋体" w:cs="宋体" w:hint="eastAsia"/>
          <w:bCs/>
          <w:sz w:val="24"/>
          <w:szCs w:val="24"/>
          <w:highlight w:val="white"/>
          <w:lang w:eastAsia="zh-CN"/>
        </w:rPr>
        <w:t>《</w:t>
      </w:r>
      <w:r>
        <w:rPr>
          <w:rFonts w:ascii="宋体" w:cs="宋体" w:hint="eastAsia"/>
          <w:sz w:val="24"/>
          <w:szCs w:val="24"/>
          <w:lang w:eastAsia="zh-CN"/>
        </w:rPr>
        <w:t>易方达国证机器人产业交易型开放式指数证券投资基金发起式联接基金</w:t>
      </w:r>
      <w:r>
        <w:rPr>
          <w:rFonts w:ascii="宋体" w:cs="宋体"/>
          <w:bCs/>
          <w:sz w:val="24"/>
          <w:szCs w:val="24"/>
          <w:highlight w:val="white"/>
          <w:lang w:eastAsia="zh-CN"/>
        </w:rPr>
        <w:t>基金合同</w:t>
      </w:r>
      <w:r>
        <w:rPr>
          <w:rFonts w:ascii="宋体" w:cs="宋体" w:hint="eastAsia"/>
          <w:bCs/>
          <w:sz w:val="24"/>
          <w:szCs w:val="24"/>
          <w:highlight w:val="white"/>
          <w:lang w:eastAsia="zh-CN"/>
        </w:rPr>
        <w:t>》</w:t>
      </w:r>
      <w:r>
        <w:rPr>
          <w:rFonts w:ascii="宋体" w:cs="宋体" w:hint="eastAsia"/>
          <w:sz w:val="24"/>
          <w:szCs w:val="24"/>
          <w:highlight w:val="white"/>
          <w:lang w:eastAsia="zh-CN"/>
        </w:rPr>
        <w:t>及对本基金合同的任何有效修订和补充</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5</w:t>
      </w:r>
      <w:r>
        <w:rPr>
          <w:rFonts w:ascii="宋体" w:cs="宋体" w:hint="eastAsia"/>
          <w:sz w:val="24"/>
          <w:szCs w:val="24"/>
          <w:highlight w:val="white"/>
          <w:lang w:eastAsia="zh-CN"/>
        </w:rPr>
        <w:t>、托管协议：指基金管理人与基金托管人就本基金签订之</w:t>
      </w:r>
      <w:r>
        <w:rPr>
          <w:rFonts w:ascii="宋体" w:cs="宋体" w:hint="eastAsia"/>
          <w:bCs/>
          <w:sz w:val="24"/>
          <w:szCs w:val="24"/>
          <w:highlight w:val="white"/>
          <w:lang w:eastAsia="zh-CN"/>
        </w:rPr>
        <w:t>《</w:t>
      </w:r>
      <w:r>
        <w:rPr>
          <w:rFonts w:ascii="宋体" w:cs="宋体" w:hint="eastAsia"/>
          <w:sz w:val="24"/>
          <w:szCs w:val="24"/>
          <w:lang w:eastAsia="zh-CN"/>
        </w:rPr>
        <w:t>易方达国证机器人产业交易型开放式指数证券投资基金发起式联接基金</w:t>
      </w:r>
      <w:r>
        <w:rPr>
          <w:rFonts w:ascii="宋体" w:cs="宋体"/>
          <w:bCs/>
          <w:sz w:val="24"/>
          <w:szCs w:val="24"/>
          <w:highlight w:val="white"/>
          <w:lang w:eastAsia="zh-CN"/>
        </w:rPr>
        <w:t>托管协议</w:t>
      </w:r>
      <w:r>
        <w:rPr>
          <w:rFonts w:ascii="宋体" w:cs="宋体" w:hint="eastAsia"/>
          <w:bCs/>
          <w:sz w:val="24"/>
          <w:szCs w:val="24"/>
          <w:highlight w:val="white"/>
          <w:lang w:eastAsia="zh-CN"/>
        </w:rPr>
        <w:t>》</w:t>
      </w:r>
      <w:r>
        <w:rPr>
          <w:rFonts w:ascii="宋体" w:cs="宋体" w:hint="eastAsia"/>
          <w:sz w:val="24"/>
          <w:szCs w:val="24"/>
          <w:highlight w:val="white"/>
          <w:lang w:eastAsia="zh-CN"/>
        </w:rPr>
        <w:t>及对该托管协议的任何有效修订和补充</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6、招募说明书：指</w:t>
      </w:r>
      <w:r>
        <w:rPr>
          <w:rFonts w:ascii="宋体" w:cs="宋体" w:hint="eastAsia"/>
          <w:bCs/>
          <w:sz w:val="24"/>
          <w:szCs w:val="24"/>
          <w:highlight w:val="white"/>
          <w:lang w:eastAsia="zh-CN"/>
        </w:rPr>
        <w:t>《</w:t>
      </w:r>
      <w:r>
        <w:rPr>
          <w:rFonts w:ascii="宋体" w:cs="宋体" w:hint="eastAsia"/>
          <w:sz w:val="24"/>
          <w:szCs w:val="24"/>
          <w:lang w:eastAsia="zh-CN"/>
        </w:rPr>
        <w:t>易方达国证机器人产业交易型开放式指数证券投资基金发起式联接基金</w:t>
      </w:r>
      <w:r>
        <w:rPr>
          <w:rFonts w:ascii="宋体" w:cs="宋体"/>
          <w:bCs/>
          <w:sz w:val="24"/>
          <w:szCs w:val="24"/>
          <w:highlight w:val="white"/>
          <w:lang w:eastAsia="zh-CN"/>
        </w:rPr>
        <w:t>招募说明书</w:t>
      </w:r>
      <w:r>
        <w:rPr>
          <w:rFonts w:ascii="宋体" w:cs="宋体" w:hint="eastAsia"/>
          <w:bCs/>
          <w:sz w:val="24"/>
          <w:szCs w:val="24"/>
          <w:highlight w:val="white"/>
          <w:lang w:eastAsia="zh-CN"/>
        </w:rPr>
        <w:t>》</w:t>
      </w:r>
      <w:r>
        <w:rPr>
          <w:rFonts w:ascii="宋体" w:cs="宋体" w:hint="eastAsia"/>
          <w:sz w:val="24"/>
          <w:szCs w:val="24"/>
          <w:highlight w:val="white"/>
          <w:lang w:eastAsia="zh-CN"/>
        </w:rPr>
        <w:t>及其更新</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7、基金产品资料概要：指《</w:t>
      </w:r>
      <w:r>
        <w:rPr>
          <w:rFonts w:ascii="宋体" w:cs="宋体" w:hint="eastAsia"/>
          <w:sz w:val="24"/>
          <w:szCs w:val="24"/>
          <w:lang w:eastAsia="zh-CN"/>
        </w:rPr>
        <w:t>易方达国证机器人产业交易型开放式指数证券投资基金发起式联接基金</w:t>
      </w:r>
      <w:r>
        <w:rPr>
          <w:rFonts w:ascii="宋体" w:cs="宋体" w:hint="eastAsia"/>
          <w:sz w:val="24"/>
          <w:szCs w:val="24"/>
          <w:highlight w:val="white"/>
          <w:lang w:eastAsia="zh-CN"/>
        </w:rPr>
        <w:t>基金产品资料概要》及其更新</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8</w:t>
      </w:r>
      <w:r>
        <w:rPr>
          <w:rFonts w:ascii="宋体" w:cs="宋体" w:hint="eastAsia"/>
          <w:sz w:val="24"/>
          <w:szCs w:val="24"/>
          <w:highlight w:val="white"/>
          <w:lang w:eastAsia="zh-CN"/>
        </w:rPr>
        <w:t>、基金份额发售公告：指</w:t>
      </w:r>
      <w:r>
        <w:rPr>
          <w:rFonts w:ascii="宋体" w:cs="宋体" w:hint="eastAsia"/>
          <w:bCs/>
          <w:sz w:val="24"/>
          <w:szCs w:val="24"/>
          <w:highlight w:val="white"/>
          <w:lang w:eastAsia="zh-CN"/>
        </w:rPr>
        <w:t>《</w:t>
      </w:r>
      <w:r>
        <w:rPr>
          <w:rFonts w:ascii="宋体" w:cs="宋体" w:hint="eastAsia"/>
          <w:sz w:val="24"/>
          <w:szCs w:val="24"/>
          <w:lang w:eastAsia="zh-CN"/>
        </w:rPr>
        <w:t>易方达国证机器人产业交易型开放式指数证券投资基金发起式联接基金</w:t>
      </w:r>
      <w:r>
        <w:rPr>
          <w:rFonts w:ascii="宋体" w:cs="宋体"/>
          <w:bCs/>
          <w:sz w:val="24"/>
          <w:szCs w:val="24"/>
          <w:highlight w:val="white"/>
          <w:lang w:eastAsia="zh-CN"/>
        </w:rPr>
        <w:t>基金份额发售公告</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color w:val="000000"/>
          <w:sz w:val="24"/>
          <w:szCs w:val="24"/>
          <w:highlight w:val="white"/>
          <w:lang w:eastAsia="zh-CN"/>
        </w:rPr>
        <w:t>9、标的指数：指</w:t>
      </w:r>
      <w:r>
        <w:rPr>
          <w:rFonts w:ascii="宋体" w:cs="宋体"/>
          <w:sz w:val="24"/>
          <w:szCs w:val="24"/>
          <w:lang w:eastAsia="zh-CN"/>
        </w:rPr>
        <w:t>国证机器人产业指数</w:t>
      </w:r>
      <w:r>
        <w:rPr>
          <w:rFonts w:ascii="宋体" w:cs="宋体"/>
          <w:color w:val="000000"/>
          <w:sz w:val="24"/>
          <w:szCs w:val="24"/>
          <w:highlight w:val="white"/>
          <w:lang w:eastAsia="zh-CN"/>
        </w:rPr>
        <w:t>及其未来可能发生的变更</w:t>
      </w:r>
    </w:p>
    <w:p w:rsidR="009C732C">
      <w:pPr>
        <w:spacing w:line="360" w:lineRule="auto"/>
        <w:ind w:firstLine="480"/>
        <w:rPr>
          <w:rFonts w:ascii="宋体"/>
          <w:bCs/>
          <w:sz w:val="24"/>
          <w:lang w:eastAsia="zh-CN"/>
        </w:rPr>
      </w:pPr>
      <w:r>
        <w:rPr>
          <w:rFonts w:ascii="宋体" w:hint="eastAsia"/>
          <w:bCs/>
          <w:sz w:val="24"/>
          <w:highlight w:val="white"/>
          <w:lang w:eastAsia="zh-CN"/>
        </w:rPr>
        <w:t>10、目标ETF：指</w:t>
      </w:r>
      <w:r>
        <w:rPr>
          <w:rFonts w:ascii="宋体" w:cs="宋体" w:hint="eastAsia"/>
          <w:sz w:val="24"/>
          <w:szCs w:val="24"/>
          <w:lang w:eastAsia="zh-CN"/>
        </w:rPr>
        <w:t>易方达国证机器人产业交易型开放式指数证券投资基金</w:t>
      </w:r>
    </w:p>
    <w:p w:rsidR="009C732C">
      <w:pPr>
        <w:spacing w:line="360" w:lineRule="auto"/>
        <w:ind w:firstLine="480"/>
        <w:rPr>
          <w:rFonts w:ascii="宋体" w:cs="宋体"/>
          <w:bCs/>
          <w:sz w:val="24"/>
          <w:szCs w:val="24"/>
          <w:lang w:eastAsia="zh-CN"/>
        </w:rPr>
      </w:pPr>
      <w:r>
        <w:rPr>
          <w:rFonts w:ascii="宋体" w:hint="eastAsia"/>
          <w:bCs/>
          <w:sz w:val="24"/>
          <w:highlight w:val="white"/>
          <w:lang w:eastAsia="zh-CN"/>
        </w:rPr>
        <w:t>11、ETF联接基金：指将绝大部分基金财产投资于跟踪同一标的指数的ETF（以下简称目标ETF），紧密跟踪标的指数表现，追求跟踪偏离度和跟踪误差最小化，采用开放式运作方式的基金，简称联接基金</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12</w:t>
      </w:r>
      <w:r>
        <w:rPr>
          <w:rFonts w:asci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13</w:t>
      </w:r>
      <w:r>
        <w:rPr>
          <w:rFonts w:ascii="宋体" w:cs="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4</w:t>
      </w:r>
      <w:r>
        <w:rPr>
          <w:rFonts w:asci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6</w:t>
      </w:r>
      <w:r>
        <w:rPr>
          <w:rFonts w:asci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17</w:t>
      </w:r>
      <w:r>
        <w:rPr>
          <w:rFonts w:asci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18、《指数基金指引》：指中国证监会2021年1月22日颁布、同年2月1日实施的《公开募集证券投资基金运作指引第3号</w:t>
      </w:r>
      <w:r>
        <w:rPr>
          <w:rFonts w:ascii="宋体" w:cs="宋体"/>
          <w:sz w:val="24"/>
          <w:szCs w:val="24"/>
          <w:highlight w:val="white"/>
          <w:lang w:eastAsia="zh-CN"/>
        </w:rPr>
        <w:t>——</w:t>
      </w:r>
      <w:r>
        <w:rPr>
          <w:rFonts w:ascii="宋体" w:cs="宋体"/>
          <w:sz w:val="24"/>
          <w:szCs w:val="24"/>
          <w:highlight w:val="white"/>
          <w:lang w:eastAsia="zh-CN"/>
        </w:rPr>
        <w:t>指数基金指引》及颁布机关对其不时做出的修订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9、中国证监会：指中国证券监督管理委员会</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、银行业监督管理机构：指中国人民银行和</w:t>
      </w:r>
      <w:r>
        <w:rPr>
          <w:rFonts w:ascii="宋体" w:cs="宋体"/>
          <w:sz w:val="24"/>
          <w:szCs w:val="24"/>
          <w:highlight w:val="white"/>
          <w:lang w:eastAsia="zh-CN"/>
        </w:rPr>
        <w:t>/</w:t>
      </w:r>
      <w:r>
        <w:rPr>
          <w:rFonts w:ascii="宋体" w:cs="宋体" w:hint="eastAsia"/>
          <w:sz w:val="24"/>
          <w:szCs w:val="24"/>
          <w:highlight w:val="white"/>
          <w:lang w:eastAsia="zh-CN"/>
        </w:rPr>
        <w:t>或国家金融监督管理总局</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21</w:t>
      </w:r>
      <w:r>
        <w:rPr>
          <w:rFonts w:asci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22</w:t>
      </w:r>
      <w:r>
        <w:rPr>
          <w:rFonts w:ascii="宋体" w:cs="宋体" w:hint="eastAsia"/>
          <w:sz w:val="24"/>
          <w:szCs w:val="24"/>
          <w:highlight w:val="white"/>
          <w:lang w:eastAsia="zh-CN"/>
        </w:rPr>
        <w:t>、个人投资者：指依据有关法律法规规定可投资于证券投资基金的自然人</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23</w:t>
      </w:r>
      <w:r>
        <w:rPr>
          <w:rFonts w:asci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24</w:t>
      </w:r>
      <w:r>
        <w:rPr>
          <w:rFonts w:ascii="宋体" w:cs="宋体" w:hint="eastAsia"/>
          <w:bCs/>
          <w:sz w:val="24"/>
          <w:szCs w:val="24"/>
          <w:highlight w:val="white"/>
          <w:lang w:eastAsia="zh-CN"/>
        </w:rPr>
        <w:t>、合格境外投资者：指符合相关法律法规规定使用来自境外的资金进行境内证券期货投资的境外机构投资者，包括合格境外机构投资者和人民币合格境外机构投资者</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25、</w:t>
      </w:r>
      <w:r>
        <w:rPr>
          <w:rFonts w:ascii="宋体" w:cs="宋体" w:hint="eastAsia"/>
          <w:sz w:val="24"/>
          <w:szCs w:val="24"/>
          <w:highlight w:val="white"/>
          <w:lang w:eastAsia="zh-CN"/>
        </w:rPr>
        <w:t>投资人、</w:t>
      </w:r>
      <w:r>
        <w:rPr>
          <w:rFonts w:ascii="宋体" w:cs="宋体"/>
          <w:sz w:val="24"/>
          <w:szCs w:val="24"/>
          <w:highlight w:val="white"/>
          <w:lang w:eastAsia="zh-CN"/>
        </w:rPr>
        <w:t>投资者</w:t>
      </w:r>
      <w:r>
        <w:rPr>
          <w:rFonts w:ascii="宋体" w:cs="宋体" w:hint="eastAsia"/>
          <w:sz w:val="24"/>
          <w:szCs w:val="24"/>
          <w:highlight w:val="white"/>
          <w:lang w:eastAsia="zh-CN"/>
        </w:rPr>
        <w:t>：指个人投资者、机构投资者、</w:t>
      </w:r>
      <w:r>
        <w:rPr>
          <w:rFonts w:ascii="宋体" w:cs="宋体" w:hint="eastAsia"/>
          <w:bCs/>
          <w:sz w:val="24"/>
          <w:szCs w:val="24"/>
          <w:highlight w:val="white"/>
          <w:lang w:eastAsia="zh-CN"/>
        </w:rPr>
        <w:t>合格境外投资者</w:t>
      </w:r>
      <w:r>
        <w:rPr>
          <w:rFonts w:ascii="宋体" w:cs="宋体" w:hint="eastAsia"/>
          <w:sz w:val="24"/>
          <w:szCs w:val="24"/>
          <w:highlight w:val="white"/>
          <w:lang w:eastAsia="zh-CN"/>
        </w:rPr>
        <w:t>以及法律法规或中国证监会允许购买证券投资基金的其他投资人的合称</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26</w:t>
      </w:r>
      <w:r>
        <w:rPr>
          <w:rFonts w:ascii="宋体" w:cs="宋体" w:hint="eastAsia"/>
          <w:sz w:val="24"/>
          <w:szCs w:val="24"/>
          <w:highlight w:val="white"/>
          <w:lang w:eastAsia="zh-CN"/>
        </w:rPr>
        <w:t>、基金份额持有人：指依基金合同和招募说明书合法取得基金份额的投资人</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27</w:t>
      </w:r>
      <w:r>
        <w:rPr>
          <w:rFonts w:asci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8</w:t>
      </w:r>
      <w:r>
        <w:rPr>
          <w:rFonts w:ascii="宋体" w:cs="宋体" w:hint="eastAsia"/>
          <w:sz w:val="24"/>
          <w:szCs w:val="24"/>
          <w:highlight w:val="white"/>
          <w:lang w:eastAsia="zh-CN"/>
        </w:rPr>
        <w:t>、销售机构：指</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29</w:t>
      </w:r>
      <w:r>
        <w:rPr>
          <w:rFonts w:asci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30</w:t>
      </w:r>
      <w:r>
        <w:rPr>
          <w:rFonts w:ascii="宋体" w:cs="宋体" w:hint="eastAsia"/>
          <w:sz w:val="24"/>
          <w:szCs w:val="24"/>
          <w:highlight w:val="white"/>
          <w:lang w:eastAsia="zh-CN"/>
        </w:rPr>
        <w:t>、登记机构：指办理登记业务的机构。基金的登记机构为</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基金管理有限公司或接受</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基金管理有限公司委托代为办理登记业务的机构</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31</w:t>
      </w:r>
      <w:r>
        <w:rPr>
          <w:rFonts w:ascii="宋体" w:cs="宋体" w:hint="eastAsia"/>
          <w:sz w:val="24"/>
          <w:szCs w:val="24"/>
          <w:highlight w:val="white"/>
          <w:lang w:eastAsia="zh-CN"/>
        </w:rPr>
        <w:t>、基金账户：指登记机构为投资人开立的、记录其持有的、基金管理人所管理的基金份额余额及其变动情况的账户</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32</w:t>
      </w:r>
      <w:r>
        <w:rPr>
          <w:rFonts w:ascii="宋体" w:cs="宋体" w:hint="eastAsia"/>
          <w:sz w:val="24"/>
          <w:szCs w:val="24"/>
          <w:highlight w:val="white"/>
          <w:lang w:eastAsia="zh-CN"/>
        </w:rPr>
        <w:t>、基金交易账户：指销售机构为投资人开立的、记录投资人通过该销售机构办理认购、申购、赎回、转换</w:t>
      </w:r>
      <w:r>
        <w:rPr>
          <w:rFonts w:ascii="宋体" w:cs="宋体" w:hint="eastAsia"/>
          <w:bCs/>
          <w:color w:val="000000"/>
          <w:sz w:val="24"/>
          <w:szCs w:val="24"/>
          <w:highlight w:val="white"/>
          <w:lang w:eastAsia="zh-CN"/>
        </w:rPr>
        <w:t>、</w:t>
      </w:r>
      <w:r>
        <w:rPr>
          <w:rFonts w:ascii="宋体" w:cs="宋体" w:hint="eastAsia"/>
          <w:sz w:val="24"/>
          <w:szCs w:val="24"/>
          <w:highlight w:val="white"/>
          <w:lang w:eastAsia="zh-CN"/>
        </w:rPr>
        <w:t>转托管</w:t>
      </w:r>
      <w:r>
        <w:rPr>
          <w:rFonts w:ascii="宋体" w:cs="宋体" w:hint="eastAsia"/>
          <w:bCs/>
          <w:color w:val="000000"/>
          <w:sz w:val="24"/>
          <w:szCs w:val="24"/>
          <w:highlight w:val="white"/>
          <w:lang w:eastAsia="zh-CN"/>
        </w:rPr>
        <w:t>及定期定额投资</w:t>
      </w:r>
      <w:r>
        <w:rPr>
          <w:rFonts w:ascii="宋体" w:cs="宋体" w:hint="eastAsia"/>
          <w:sz w:val="24"/>
          <w:szCs w:val="24"/>
          <w:highlight w:val="white"/>
          <w:lang w:eastAsia="zh-CN"/>
        </w:rPr>
        <w:t>等业务</w:t>
      </w:r>
      <w:r>
        <w:rPr>
          <w:rFonts w:ascii="宋体" w:cs="宋体" w:hint="eastAsia"/>
          <w:bCs/>
          <w:sz w:val="24"/>
          <w:szCs w:val="24"/>
          <w:highlight w:val="white"/>
          <w:lang w:eastAsia="zh-CN"/>
        </w:rPr>
        <w:t>而</w:t>
      </w:r>
      <w:r>
        <w:rPr>
          <w:rFonts w:ascii="宋体" w:cs="宋体" w:hint="eastAsia"/>
          <w:sz w:val="24"/>
          <w:szCs w:val="24"/>
          <w:highlight w:val="white"/>
          <w:lang w:eastAsia="zh-CN"/>
        </w:rPr>
        <w:t>引起的基金份额变动及结余情况的账户</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33</w:t>
      </w:r>
      <w:r>
        <w:rPr>
          <w:rFonts w:asci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34</w:t>
      </w:r>
      <w:r>
        <w:rPr>
          <w:rFonts w:asci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35</w:t>
      </w:r>
      <w:r>
        <w:rPr>
          <w:rFonts w:ascii="宋体" w:cs="宋体" w:hint="eastAsia"/>
          <w:sz w:val="24"/>
          <w:szCs w:val="24"/>
          <w:highlight w:val="white"/>
          <w:lang w:eastAsia="zh-CN"/>
        </w:rPr>
        <w:t>、基金募集期：指自基金份额发售之日起至发售结束之日止的期间，最长不得超过</w:t>
      </w:r>
      <w:r>
        <w:rPr>
          <w:rFonts w:ascii="宋体" w:cs="宋体"/>
          <w:sz w:val="24"/>
          <w:szCs w:val="24"/>
          <w:highlight w:val="white"/>
          <w:lang w:eastAsia="zh-CN"/>
        </w:rPr>
        <w:t>3</w:t>
      </w:r>
      <w:r>
        <w:rPr>
          <w:rFonts w:ascii="宋体" w:cs="宋体" w:hint="eastAsia"/>
          <w:sz w:val="24"/>
          <w:szCs w:val="24"/>
          <w:highlight w:val="white"/>
          <w:lang w:eastAsia="zh-CN"/>
        </w:rPr>
        <w:t>个月</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36</w:t>
      </w:r>
      <w:r>
        <w:rPr>
          <w:rFonts w:ascii="宋体" w:cs="宋体" w:hint="eastAsia"/>
          <w:sz w:val="24"/>
          <w:szCs w:val="24"/>
          <w:highlight w:val="white"/>
          <w:lang w:eastAsia="zh-CN"/>
        </w:rPr>
        <w:t>、存续期：指基金合同生效日至终止日之间的不定期期限</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37、</w:t>
      </w:r>
      <w:r>
        <w:rPr>
          <w:rFonts w:ascii="宋体" w:cs="宋体" w:hint="eastAsia"/>
          <w:sz w:val="24"/>
          <w:szCs w:val="24"/>
          <w:highlight w:val="white"/>
          <w:lang w:eastAsia="zh-CN"/>
        </w:rPr>
        <w:t>工作日：指上海证券交易所、深圳证券交易所的</w:t>
      </w:r>
      <w:r>
        <w:rPr>
          <w:rFonts w:ascii="宋体" w:cs="宋体" w:hint="eastAsia"/>
          <w:bCs/>
          <w:sz w:val="24"/>
          <w:szCs w:val="24"/>
          <w:highlight w:val="white"/>
          <w:lang w:eastAsia="zh-CN"/>
        </w:rPr>
        <w:t>交易日</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38</w:t>
      </w:r>
      <w:r>
        <w:rPr>
          <w:rFonts w:ascii="宋体" w:cs="宋体" w:hint="eastAsia"/>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日：指销售机构在规定时间受理投资人申购、赎回或其他业务申请的开放日</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39、</w:t>
      </w:r>
      <w:r>
        <w:rPr>
          <w:rFonts w:ascii="宋体" w:cs="宋体"/>
          <w:bCs/>
          <w:sz w:val="24"/>
          <w:szCs w:val="24"/>
          <w:highlight w:val="white"/>
          <w:lang w:eastAsia="zh-CN"/>
        </w:rPr>
        <w:t>T+n</w:t>
      </w:r>
      <w:r>
        <w:rPr>
          <w:rFonts w:ascii="宋体" w:cs="宋体" w:hint="eastAsia"/>
          <w:bCs/>
          <w:sz w:val="24"/>
          <w:szCs w:val="24"/>
          <w:highlight w:val="white"/>
          <w:lang w:eastAsia="zh-CN"/>
        </w:rPr>
        <w:t>日：指自</w:t>
      </w:r>
      <w:r>
        <w:rPr>
          <w:rFonts w:ascii="宋体" w:cs="宋体"/>
          <w:bCs/>
          <w:sz w:val="24"/>
          <w:szCs w:val="24"/>
          <w:highlight w:val="white"/>
          <w:lang w:eastAsia="zh-CN"/>
        </w:rPr>
        <w:t>T</w:t>
      </w:r>
      <w:r>
        <w:rPr>
          <w:rFonts w:ascii="宋体" w:cs="宋体" w:hint="eastAsia"/>
          <w:bCs/>
          <w:sz w:val="24"/>
          <w:szCs w:val="24"/>
          <w:highlight w:val="white"/>
          <w:lang w:eastAsia="zh-CN"/>
        </w:rPr>
        <w:t>日起第</w:t>
      </w:r>
      <w:r>
        <w:rPr>
          <w:rFonts w:ascii="宋体" w:cs="宋体"/>
          <w:bCs/>
          <w:sz w:val="24"/>
          <w:szCs w:val="24"/>
          <w:highlight w:val="white"/>
          <w:lang w:eastAsia="zh-CN"/>
        </w:rPr>
        <w:t>n</w:t>
      </w:r>
      <w:r>
        <w:rPr>
          <w:rFonts w:ascii="宋体" w:cs="宋体" w:hint="eastAsia"/>
          <w:bCs/>
          <w:sz w:val="24"/>
          <w:szCs w:val="24"/>
          <w:highlight w:val="white"/>
          <w:lang w:eastAsia="zh-CN"/>
        </w:rPr>
        <w:t>个工作日（不包含</w:t>
      </w:r>
      <w:r>
        <w:rPr>
          <w:rFonts w:ascii="宋体" w:cs="宋体"/>
          <w:bCs/>
          <w:sz w:val="24"/>
          <w:szCs w:val="24"/>
          <w:highlight w:val="white"/>
          <w:lang w:eastAsia="zh-CN"/>
        </w:rPr>
        <w:t>T</w:t>
      </w:r>
      <w:r>
        <w:rPr>
          <w:rFonts w:ascii="宋体" w:cs="宋体" w:hint="eastAsia"/>
          <w:bCs/>
          <w:sz w:val="24"/>
          <w:szCs w:val="24"/>
          <w:highlight w:val="white"/>
          <w:lang w:eastAsia="zh-CN"/>
        </w:rPr>
        <w:t>日），</w:t>
      </w:r>
      <w:r>
        <w:rPr>
          <w:rFonts w:ascii="宋体" w:cs="宋体"/>
          <w:bCs/>
          <w:sz w:val="24"/>
          <w:szCs w:val="24"/>
          <w:highlight w:val="white"/>
          <w:lang w:eastAsia="zh-CN"/>
        </w:rPr>
        <w:t>n</w:t>
      </w:r>
      <w:r>
        <w:rPr>
          <w:rFonts w:ascii="宋体" w:cs="宋体" w:hint="eastAsia"/>
          <w:bCs/>
          <w:sz w:val="24"/>
          <w:szCs w:val="24"/>
          <w:highlight w:val="white"/>
          <w:lang w:eastAsia="zh-CN"/>
        </w:rPr>
        <w:t>为自然数</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40、开放日：指为投资人办理基金份额申购、赎回或其他业务的工作日</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41</w:t>
      </w:r>
      <w:r>
        <w:rPr>
          <w:rFonts w:ascii="宋体" w:cs="宋体" w:hint="eastAsia"/>
          <w:sz w:val="24"/>
          <w:szCs w:val="24"/>
          <w:highlight w:val="white"/>
          <w:lang w:eastAsia="zh-CN"/>
        </w:rPr>
        <w:t>、</w:t>
      </w:r>
      <w:r>
        <w:rPr>
          <w:rFonts w:ascii="宋体" w:cs="宋体" w:hint="eastAsia"/>
          <w:bCs/>
          <w:sz w:val="24"/>
          <w:szCs w:val="24"/>
          <w:highlight w:val="white"/>
          <w:lang w:eastAsia="zh-CN"/>
        </w:rPr>
        <w:t>开放时间</w:t>
      </w:r>
      <w:r>
        <w:rPr>
          <w:rFonts w:ascii="宋体" w:cs="宋体" w:hint="eastAsia"/>
          <w:sz w:val="24"/>
          <w:szCs w:val="24"/>
          <w:highlight w:val="white"/>
          <w:lang w:eastAsia="zh-CN"/>
        </w:rPr>
        <w:t>：指开放日基金接受申购、赎回或其他交易的时间段</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42</w:t>
      </w:r>
      <w:r>
        <w:rPr>
          <w:rFonts w:ascii="宋体" w:cs="宋体" w:hint="eastAsia"/>
          <w:sz w:val="24"/>
          <w:szCs w:val="24"/>
          <w:highlight w:val="white"/>
          <w:lang w:eastAsia="zh-CN"/>
        </w:rPr>
        <w:t>、《业务规则》：指</w:t>
      </w:r>
      <w:r>
        <w:rPr>
          <w:rFonts w:ascii="宋体" w:cs="宋体" w:hint="eastAsia"/>
          <w:bCs/>
          <w:sz w:val="24"/>
          <w:szCs w:val="24"/>
          <w:highlight w:val="white"/>
          <w:lang w:eastAsia="zh-CN"/>
        </w:rPr>
        <w:t>《</w:t>
      </w:r>
      <w:r>
        <w:rPr>
          <w:rFonts w:ascii="宋体" w:cs="宋体" w:hint="eastAsia"/>
          <w:sz w:val="24"/>
          <w:szCs w:val="24"/>
          <w:highlight w:val="white"/>
          <w:lang w:eastAsia="zh-CN"/>
        </w:rPr>
        <w:t>易方达</w:t>
      </w:r>
      <w:r>
        <w:rPr>
          <w:rFonts w:ascii="宋体" w:cs="宋体" w:hint="eastAsia"/>
          <w:bCs/>
          <w:sz w:val="24"/>
          <w:szCs w:val="24"/>
          <w:highlight w:val="white"/>
          <w:lang w:eastAsia="zh-CN"/>
        </w:rPr>
        <w:t>基金管理有限公司开放式基金业务规则》</w:t>
      </w:r>
      <w:r>
        <w:rPr>
          <w:rFonts w:ascii="宋体" w:cs="宋体" w:hint="eastAsia"/>
          <w:sz w:val="24"/>
          <w:szCs w:val="24"/>
          <w:highlight w:val="white"/>
          <w:lang w:eastAsia="zh-CN"/>
        </w:rPr>
        <w:t>，是规范基金管理人所管理的开放式证券投资基金登记方面的业务规则，由基金管理人和投资人共同遵守</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43</w:t>
      </w:r>
      <w:r>
        <w:rPr>
          <w:rFonts w:ascii="宋体" w:cs="宋体" w:hint="eastAsia"/>
          <w:sz w:val="24"/>
          <w:szCs w:val="24"/>
          <w:highlight w:val="white"/>
          <w:lang w:eastAsia="zh-CN"/>
        </w:rPr>
        <w:t>、认购：指在基金募集期内，投资人根据基金合同和招募说明书的规定申请购买基金份额的行为</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4</w:t>
      </w:r>
      <w:r>
        <w:rPr>
          <w:rFonts w:ascii="宋体" w:cs="宋体" w:hint="eastAsia"/>
          <w:sz w:val="24"/>
          <w:szCs w:val="24"/>
          <w:highlight w:val="white"/>
          <w:lang w:eastAsia="zh-CN"/>
        </w:rPr>
        <w:t>、申购：指基金合同生效后，投资人根据基金合同和招募说明书的规定申请购买基金份额的行为</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45</w:t>
      </w:r>
      <w:r>
        <w:rPr>
          <w:rFonts w:ascii="宋体" w:cs="宋体" w:hint="eastAsia"/>
          <w:sz w:val="24"/>
          <w:szCs w:val="24"/>
          <w:highlight w:val="white"/>
          <w:lang w:eastAsia="zh-CN"/>
        </w:rPr>
        <w:t>、赎回：指基金合同生效后，基金份额持有人按基金合同和招募说明书规定的条件要求将基金份额兑换为现金的行为</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46</w:t>
      </w:r>
      <w:r>
        <w:rPr>
          <w:rFonts w:asci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47</w:t>
      </w:r>
      <w:r>
        <w:rPr>
          <w:rFonts w:ascii="宋体" w:cs="宋体" w:hint="eastAsia"/>
          <w:sz w:val="24"/>
          <w:szCs w:val="24"/>
          <w:highlight w:val="white"/>
          <w:lang w:eastAsia="zh-CN"/>
        </w:rPr>
        <w:t>、转托管：指基金份额持有人在本基金的不同销售机构之间实施的变更所持基金份额销售机构的操作</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48</w:t>
      </w:r>
      <w:r>
        <w:rPr>
          <w:rFonts w:asci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cs="宋体" w:hint="eastAsia"/>
          <w:color w:val="000000"/>
          <w:sz w:val="24"/>
          <w:szCs w:val="24"/>
          <w:highlight w:val="white"/>
          <w:lang w:eastAsia="zh-CN"/>
        </w:rPr>
        <w:t>受理</w:t>
      </w:r>
      <w:r>
        <w:rPr>
          <w:rFonts w:ascii="宋体" w:cs="宋体" w:hint="eastAsia"/>
          <w:sz w:val="24"/>
          <w:szCs w:val="24"/>
          <w:highlight w:val="white"/>
          <w:lang w:eastAsia="zh-CN"/>
        </w:rPr>
        <w:t>基金申购申请的一种投资方式</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49</w:t>
      </w:r>
      <w:r>
        <w:rPr>
          <w:rFonts w:ascii="宋体" w:cs="宋体" w:hint="eastAsia"/>
          <w:sz w:val="24"/>
          <w:szCs w:val="24"/>
          <w:highlight w:val="white"/>
          <w:lang w:eastAsia="zh-CN"/>
        </w:rPr>
        <w:t>、巨额赎回：指本基金单个开放日，基金净赎回申请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超过上一开放日基金总份额的</w:t>
      </w:r>
      <w:r>
        <w:rPr>
          <w:rFonts w:ascii="宋体" w:cs="宋体"/>
          <w:sz w:val="24"/>
          <w:szCs w:val="24"/>
          <w:highlight w:val="white"/>
          <w:lang w:eastAsia="zh-CN"/>
        </w:rPr>
        <w:t>10%</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50</w:t>
      </w:r>
      <w:r>
        <w:rPr>
          <w:rFonts w:ascii="宋体" w:cs="宋体" w:hint="eastAsia"/>
          <w:sz w:val="24"/>
          <w:szCs w:val="24"/>
          <w:highlight w:val="white"/>
          <w:lang w:eastAsia="zh-CN"/>
        </w:rPr>
        <w:t>、元：指人民币元</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51</w:t>
      </w:r>
      <w:r>
        <w:rPr>
          <w:rFonts w:ascii="宋体" w:cs="宋体" w:hint="eastAsia"/>
          <w:bCs/>
          <w:sz w:val="24"/>
          <w:szCs w:val="24"/>
          <w:highlight w:val="white"/>
          <w:lang w:eastAsia="zh-CN"/>
        </w:rPr>
        <w:t>、基金收益：指基金投资所得红利</w:t>
      </w:r>
      <w:r>
        <w:rPr>
          <w:rFonts w:ascii="宋体" w:cs="宋体"/>
          <w:bCs/>
          <w:sz w:val="24"/>
          <w:szCs w:val="24"/>
          <w:highlight w:val="white"/>
          <w:lang w:eastAsia="zh-CN"/>
        </w:rPr>
        <w:t>、</w:t>
      </w:r>
      <w:r>
        <w:rPr>
          <w:rFonts w:ascii="宋体" w:cs="宋体" w:hint="eastAsia"/>
          <w:bCs/>
          <w:sz w:val="24"/>
          <w:szCs w:val="24"/>
          <w:highlight w:val="white"/>
          <w:lang w:eastAsia="zh-CN"/>
        </w:rPr>
        <w:t>股息、债券利息、买卖证券价差、银行存款利息、已实现的其他合法收入及因运用基金财产带来的成本和费用的节约</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52</w:t>
      </w:r>
      <w:r>
        <w:rPr>
          <w:rFonts w:ascii="宋体" w:cs="宋体" w:hint="eastAsia"/>
          <w:sz w:val="24"/>
          <w:szCs w:val="24"/>
          <w:highlight w:val="white"/>
          <w:lang w:eastAsia="zh-CN"/>
        </w:rPr>
        <w:t>、基金资产总值：指基金拥有的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sz w:val="24"/>
          <w:szCs w:val="24"/>
          <w:highlight w:val="white"/>
          <w:lang w:eastAsia="zh-CN"/>
        </w:rPr>
        <w:t>各类有价证券、银行存款本息、基金应收申购</w:t>
      </w:r>
      <w:r>
        <w:rPr>
          <w:rFonts w:ascii="宋体" w:cs="宋体" w:hint="eastAsia"/>
          <w:bCs/>
          <w:sz w:val="24"/>
          <w:szCs w:val="24"/>
          <w:highlight w:val="white"/>
          <w:lang w:eastAsia="zh-CN"/>
        </w:rPr>
        <w:t>款</w:t>
      </w:r>
      <w:r>
        <w:rPr>
          <w:rFonts w:ascii="宋体" w:cs="宋体" w:hint="eastAsia"/>
          <w:sz w:val="24"/>
          <w:szCs w:val="24"/>
          <w:highlight w:val="white"/>
          <w:lang w:eastAsia="zh-CN"/>
        </w:rPr>
        <w:t>及其他资产的价值总和</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53</w:t>
      </w:r>
      <w:r>
        <w:rPr>
          <w:rFonts w:ascii="宋体" w:cs="宋体" w:hint="eastAsia"/>
          <w:sz w:val="24"/>
          <w:szCs w:val="24"/>
          <w:highlight w:val="white"/>
          <w:lang w:eastAsia="zh-CN"/>
        </w:rPr>
        <w:t>、基金资产净值：指基金资产总值减去基金负债后的价值</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54、</w:t>
      </w:r>
      <w:r>
        <w:rPr>
          <w:rFonts w:ascii="宋体" w:cs="宋体"/>
          <w:bCs/>
          <w:sz w:val="24"/>
          <w:szCs w:val="24"/>
          <w:highlight w:val="white"/>
          <w:lang w:eastAsia="zh-CN"/>
        </w:rPr>
        <w:t>基金份额净值：指计算日基金资产净值除以计算日基金份额总数</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55</w:t>
      </w:r>
      <w:r>
        <w:rPr>
          <w:rFonts w:ascii="宋体" w:cs="宋体" w:hint="eastAsia"/>
          <w:sz w:val="24"/>
          <w:szCs w:val="24"/>
          <w:highlight w:val="white"/>
          <w:lang w:eastAsia="zh-CN"/>
        </w:rPr>
        <w:t>、基金资产估值：指计算评估基金资产和负债的价值，以确定基金资产净值和基金份额净值的过程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56、基金份额折算：指基金管理人根据基金运作的需要，在基金资产净值不变的前提下，按照一定比例调整基金份额总额及基金份额净值</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57</w:t>
      </w:r>
      <w:r>
        <w:rPr>
          <w:rFonts w:ascii="宋体" w:cs="宋体" w:hint="eastAsia"/>
          <w:sz w:val="24"/>
          <w:szCs w:val="24"/>
          <w:highlight w:val="white"/>
          <w:lang w:eastAsia="zh-CN"/>
        </w:rPr>
        <w:t>、规定媒介：</w:t>
      </w:r>
      <w:r>
        <w:rPr>
          <w:rFonts w:asci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58、</w:t>
      </w:r>
      <w:r>
        <w:rPr>
          <w:rFonts w:ascii="宋体" w:cs="宋体"/>
          <w:bCs/>
          <w:sz w:val="24"/>
          <w:szCs w:val="24"/>
          <w:lang w:eastAsia="zh-CN"/>
        </w:rPr>
        <w:t>发起式基金：指符合中国证监会有关规定，由基金管理人、基金管理人股东、基金管理人高级管理人员或基金经理等人员承诺认购一定金额并持有一定期限的证券投资基金</w:t>
      </w:r>
    </w:p>
    <w:p w:rsidR="009C732C" w:rsidRPr="002C5650">
      <w:pPr>
        <w:spacing w:line="360" w:lineRule="auto"/>
        <w:ind w:firstLine="480"/>
        <w:rPr>
          <w:rFonts w:ascii="宋体" w:cs="宋体"/>
          <w:bCs/>
          <w:sz w:val="24"/>
          <w:szCs w:val="24"/>
          <w:highlight w:val="white"/>
          <w:lang w:eastAsia="zh-CN"/>
        </w:rPr>
      </w:pPr>
      <w:r w:rsidRPr="002C5650">
        <w:rPr>
          <w:rFonts w:ascii="宋体" w:cs="宋体"/>
          <w:bCs/>
          <w:sz w:val="24"/>
          <w:szCs w:val="24"/>
          <w:highlight w:val="white"/>
          <w:lang w:eastAsia="zh-CN"/>
        </w:rPr>
        <w:t>59</w:t>
      </w:r>
      <w:r w:rsidRPr="002C5650">
        <w:rPr>
          <w:rFonts w:ascii="宋体" w:cs="宋体" w:hint="eastAsia"/>
          <w:bCs/>
          <w:sz w:val="24"/>
          <w:szCs w:val="24"/>
          <w:highlight w:val="white"/>
          <w:lang w:eastAsia="zh-CN"/>
        </w:rPr>
        <w:t>、</w:t>
      </w:r>
      <w:r w:rsidRPr="002C5650">
        <w:rPr>
          <w:rFonts w:ascii="宋体" w:cs="宋体" w:hint="eastAsia"/>
          <w:bCs/>
          <w:sz w:val="24"/>
          <w:szCs w:val="24"/>
          <w:highlight w:val="white"/>
          <w:lang w:eastAsia="zh-CN"/>
        </w:rPr>
        <w:t>发起资金：指用于认购发起式基金且资金来源于基金管理人的股东资金、基金管理人固有资金、基金管理人高级管理人员或基金经理等人员的资金</w:t>
      </w:r>
    </w:p>
    <w:p w:rsidR="009C732C" w:rsidRPr="002C5650">
      <w:pPr>
        <w:spacing w:line="360" w:lineRule="auto"/>
        <w:ind w:firstLine="480"/>
        <w:rPr>
          <w:rFonts w:ascii="宋体" w:cs="宋体"/>
          <w:bCs/>
          <w:sz w:val="24"/>
          <w:szCs w:val="24"/>
          <w:highlight w:val="white"/>
          <w:lang w:eastAsia="zh-CN"/>
        </w:rPr>
      </w:pPr>
      <w:r w:rsidRPr="002C5650">
        <w:rPr>
          <w:rFonts w:ascii="宋体" w:cs="宋体"/>
          <w:bCs/>
          <w:sz w:val="24"/>
          <w:szCs w:val="24"/>
          <w:highlight w:val="white"/>
          <w:lang w:eastAsia="zh-CN"/>
        </w:rPr>
        <w:t>60</w:t>
      </w:r>
      <w:r w:rsidRPr="002C5650">
        <w:rPr>
          <w:rFonts w:ascii="宋体" w:cs="宋体" w:hint="eastAsia"/>
          <w:bCs/>
          <w:sz w:val="24"/>
          <w:szCs w:val="24"/>
          <w:highlight w:val="white"/>
          <w:lang w:eastAsia="zh-CN"/>
        </w:rPr>
        <w:t>、</w:t>
      </w:r>
      <w:r w:rsidRPr="002C5650">
        <w:rPr>
          <w:rFonts w:ascii="宋体" w:cs="宋体" w:hint="eastAsia"/>
          <w:bCs/>
          <w:sz w:val="24"/>
          <w:szCs w:val="24"/>
          <w:highlight w:val="white"/>
          <w:lang w:eastAsia="zh-CN"/>
        </w:rPr>
        <w:t>年度对应日：指某一特定日期在后续日历年度中的对应日期，若该日历年度中不存在对应日期的，则该年度对日为该特定日期在后续日历年度中的对应月度的最后一日。如该年度对日为非工作日的，则顺延至下一个工作日</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61</w:t>
      </w:r>
      <w:r>
        <w:rPr>
          <w:rFonts w:ascii="宋体" w:cs="宋体" w:hint="eastAsia"/>
          <w:bCs/>
          <w:sz w:val="24"/>
          <w:szCs w:val="24"/>
          <w:highlight w:val="white"/>
          <w:lang w:eastAsia="zh-CN"/>
        </w:rPr>
        <w:t>、销售服务费：指从基金财产中计提的，用于本基金市场推广、销售以及基金份额持有人服务的费用</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62</w:t>
      </w:r>
      <w:r>
        <w:rPr>
          <w:rFonts w:ascii="宋体" w:cs="宋体" w:hint="eastAsia"/>
          <w:bCs/>
          <w:sz w:val="24"/>
          <w:szCs w:val="24"/>
          <w:highlight w:val="white"/>
          <w:lang w:eastAsia="zh-CN"/>
        </w:rPr>
        <w:t>、A类基金份额：在投资人认购/申购基金时收取认购/申购费用，并不再从本类别基金资产中计提销售服务费的基金份额，称为A类基金份额</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3</w:t>
      </w:r>
      <w:r>
        <w:rPr>
          <w:rFonts w:ascii="宋体" w:cs="宋体" w:hint="eastAsia"/>
          <w:bCs/>
          <w:sz w:val="24"/>
          <w:szCs w:val="24"/>
          <w:highlight w:val="white"/>
          <w:lang w:eastAsia="zh-CN"/>
        </w:rPr>
        <w:t>、C类基金份额：从本类别基金资产中计提销售服务费，并不收取认购/申购费用的基金份额，称为C类基金份额</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4</w:t>
      </w:r>
      <w:r>
        <w:rPr>
          <w:rFonts w:ascii="宋体" w:cs="宋体" w:hint="eastAsia"/>
          <w:bCs/>
          <w:sz w:val="24"/>
          <w:szCs w:val="24"/>
          <w:highlight w:val="white"/>
          <w:lang w:eastAsia="zh-CN"/>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5</w:t>
      </w:r>
      <w:r>
        <w:rPr>
          <w:rFonts w:ascii="宋体" w:cs="宋体" w:hint="eastAsia"/>
          <w:bCs/>
          <w:sz w:val="24"/>
          <w:szCs w:val="24"/>
          <w:highlight w:val="white"/>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6</w:t>
      </w:r>
      <w:r>
        <w:rPr>
          <w:rFonts w:ascii="宋体" w:cs="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67</w:t>
      </w:r>
      <w:r>
        <w:rPr>
          <w:rFonts w:ascii="宋体" w:cs="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68、转融通证券出借业务：指本基金以一定费率通过证券交易所综合业务平台向中国证券金融股份有限公司出借证券，中国证券金融股份有限公司到期归还所借证券及相应权益补偿并支付费用的业务</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69</w:t>
      </w:r>
      <w:r>
        <w:rPr>
          <w:rFonts w:ascii="宋体" w:cs="宋体" w:hint="eastAsia"/>
          <w:bCs/>
          <w:sz w:val="24"/>
          <w:szCs w:val="24"/>
          <w:highlight w:val="white"/>
          <w:lang w:eastAsia="zh-CN"/>
        </w:rPr>
        <w:t>、</w:t>
      </w:r>
      <w:r>
        <w:rPr>
          <w:rFonts w:ascii="宋体" w:cs="宋体"/>
          <w:bCs/>
          <w:sz w:val="24"/>
          <w:szCs w:val="24"/>
          <w:highlight w:val="white"/>
          <w:lang w:eastAsia="zh-CN"/>
        </w:rPr>
        <w:t>不可抗力：指本</w:t>
      </w:r>
      <w:r>
        <w:rPr>
          <w:rFonts w:ascii="宋体" w:cs="宋体" w:hint="eastAsia"/>
          <w:bCs/>
          <w:sz w:val="24"/>
          <w:szCs w:val="24"/>
          <w:highlight w:val="white"/>
          <w:lang w:eastAsia="zh-CN"/>
        </w:rPr>
        <w:t>基金</w:t>
      </w:r>
      <w:r>
        <w:rPr>
          <w:rFonts w:ascii="宋体" w:cs="宋体"/>
          <w:bCs/>
          <w:sz w:val="24"/>
          <w:szCs w:val="24"/>
          <w:highlight w:val="white"/>
          <w:lang w:eastAsia="zh-CN"/>
        </w:rPr>
        <w:t>合同当事人不能预见、不能避免且不能克服的客观事件</w:t>
      </w:r>
    </w:p>
    <w:p w:rsidR="009C732C">
      <w:pPr>
        <w:pStyle w:val="11"/>
        <w:spacing w:before="0" w:after="0"/>
        <w:jc w:val="center"/>
        <w:rPr>
          <w:rFonts w:cs="宋体"/>
          <w:color w:val="auto"/>
          <w:sz w:val="30"/>
          <w:lang w:eastAsia="zh-CN"/>
        </w:rPr>
      </w:pPr>
      <w:r>
        <w:rPr>
          <w:rFonts w:cs="宋体"/>
          <w:highlight w:val="white"/>
          <w:lang w:eastAsia="zh-CN"/>
        </w:rPr>
        <w:br w:type="page"/>
      </w:r>
      <w:bookmarkStart w:id="60" w:name="_Toc20318"/>
      <w:bookmarkStart w:id="61" w:name="_Toc24571"/>
      <w:bookmarkStart w:id="62" w:name="_Toc22708"/>
      <w:bookmarkStart w:id="63" w:name="_Toc6149"/>
      <w:bookmarkStart w:id="64" w:name="_Toc6683"/>
      <w:bookmarkStart w:id="65" w:name="_Toc13288"/>
      <w:bookmarkStart w:id="66" w:name="_Toc20627"/>
      <w:bookmarkStart w:id="67" w:name="_Toc446339241"/>
      <w:bookmarkStart w:id="68" w:name="_Toc545"/>
      <w:bookmarkStart w:id="69" w:name="_Toc5246"/>
      <w:bookmarkStart w:id="70" w:name="_Toc18631"/>
      <w:bookmarkStart w:id="71" w:name="_Toc6327208"/>
      <w:bookmarkStart w:id="72" w:name="_Toc733"/>
      <w:r>
        <w:rPr>
          <w:rFonts w:cs="宋体" w:hint="eastAsia"/>
          <w:sz w:val="30"/>
          <w:highlight w:val="white"/>
          <w:lang w:eastAsia="zh-CN"/>
        </w:rPr>
        <w:t>第三</w:t>
      </w:r>
      <w:r>
        <w:rPr>
          <w:rFonts w:cs="宋体" w:hint="eastAsia"/>
          <w:color w:val="auto"/>
          <w:sz w:val="30"/>
          <w:highlight w:val="white"/>
          <w:lang w:eastAsia="zh-CN"/>
        </w:rPr>
        <w:t>部分</w:t>
      </w:r>
      <w:r>
        <w:rPr>
          <w:rFonts w:cs="宋体"/>
          <w:color w:val="auto"/>
          <w:sz w:val="30"/>
          <w:highlight w:val="white"/>
          <w:lang w:eastAsia="zh-CN"/>
        </w:rPr>
        <w:t xml:space="preserve"> </w:t>
      </w:r>
      <w:r>
        <w:rPr>
          <w:rFonts w:cs="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9C732C">
      <w:pPr>
        <w:spacing w:line="360" w:lineRule="auto"/>
        <w:rPr>
          <w:rFonts w:ascii="宋体"/>
          <w:sz w:val="24"/>
          <w:szCs w:val="24"/>
          <w:lang w:eastAsia="zh-CN"/>
        </w:rPr>
      </w:pPr>
    </w:p>
    <w:p w:rsidR="009C732C">
      <w:pPr>
        <w:spacing w:line="360" w:lineRule="auto"/>
        <w:ind w:firstLine="480"/>
        <w:rPr>
          <w:rFonts w:ascii="宋体" w:cs="宋体"/>
          <w:sz w:val="24"/>
          <w:szCs w:val="24"/>
          <w:lang w:eastAsia="zh-CN"/>
        </w:rPr>
      </w:pPr>
      <w:bookmarkStart w:id="74" w:name="_Hlt88031774"/>
      <w:bookmarkEnd w:id="74"/>
      <w:r>
        <w:rPr>
          <w:rFonts w:ascii="宋体" w:cs="宋体" w:hint="eastAsia"/>
          <w:sz w:val="24"/>
          <w:szCs w:val="24"/>
          <w:highlight w:val="white"/>
          <w:lang w:eastAsia="zh-CN"/>
        </w:rPr>
        <w:t>一、基金名称</w:t>
      </w:r>
      <w:bookmarkEnd w:id="73"/>
    </w:p>
    <w:p w:rsidR="009C732C">
      <w:pPr>
        <w:spacing w:line="360" w:lineRule="auto"/>
        <w:ind w:firstLine="480"/>
        <w:rPr>
          <w:rFonts w:ascii="宋体" w:cs="宋体"/>
          <w:bCs/>
          <w:sz w:val="24"/>
          <w:szCs w:val="24"/>
          <w:lang w:eastAsia="zh-CN"/>
        </w:rPr>
      </w:pPr>
      <w:r>
        <w:rPr>
          <w:rFonts w:ascii="宋体" w:cs="宋体" w:hint="eastAsia"/>
          <w:bCs/>
          <w:sz w:val="24"/>
          <w:szCs w:val="24"/>
          <w:lang w:eastAsia="zh-CN"/>
        </w:rPr>
        <w:t>易方达国证机器人产业交易型开放式指数证券投资基金发起式联接基金</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bookmarkStart w:id="75" w:name="_Toc79392574"/>
      <w:r>
        <w:rPr>
          <w:rFonts w:ascii="宋体" w:cs="宋体" w:hint="eastAsia"/>
          <w:sz w:val="24"/>
          <w:szCs w:val="24"/>
          <w:highlight w:val="white"/>
          <w:lang w:eastAsia="zh-CN"/>
        </w:rPr>
        <w:t>二、基金的类别</w:t>
      </w:r>
      <w:bookmarkEnd w:id="75"/>
    </w:p>
    <w:p w:rsidR="009C732C">
      <w:pPr>
        <w:spacing w:line="360" w:lineRule="auto"/>
        <w:ind w:firstLine="480"/>
        <w:rPr>
          <w:rFonts w:ascii="宋体" w:cs="宋体"/>
          <w:sz w:val="24"/>
          <w:szCs w:val="24"/>
          <w:lang w:eastAsia="zh-CN"/>
        </w:rPr>
      </w:pPr>
      <w:r>
        <w:rPr>
          <w:rFonts w:ascii="宋体" w:cs="宋体" w:hint="eastAsia"/>
          <w:sz w:val="24"/>
          <w:szCs w:val="24"/>
          <w:lang w:eastAsia="zh-CN"/>
        </w:rPr>
        <w:t>指数基金、联接基金</w:t>
      </w:r>
    </w:p>
    <w:p w:rsidR="009C732C">
      <w:pPr>
        <w:spacing w:line="360" w:lineRule="auto"/>
        <w:ind w:left="796" w:hanging="256"/>
        <w:rPr>
          <w:rFonts w:ascii="宋体" w:cs="宋体"/>
          <w:sz w:val="24"/>
          <w:szCs w:val="24"/>
          <w:lang w:eastAsia="zh-CN"/>
        </w:rPr>
      </w:pPr>
    </w:p>
    <w:p w:rsidR="009C732C">
      <w:pPr>
        <w:spacing w:line="360" w:lineRule="auto"/>
        <w:ind w:firstLine="480"/>
        <w:rPr>
          <w:rFonts w:ascii="宋体" w:cs="宋体"/>
          <w:sz w:val="24"/>
          <w:szCs w:val="24"/>
          <w:lang w:eastAsia="zh-CN"/>
        </w:rPr>
      </w:pPr>
      <w:bookmarkStart w:id="76" w:name="_Toc79392575"/>
      <w:r>
        <w:rPr>
          <w:rFonts w:ascii="宋体" w:cs="宋体" w:hint="eastAsia"/>
          <w:sz w:val="24"/>
          <w:szCs w:val="24"/>
          <w:highlight w:val="white"/>
          <w:lang w:eastAsia="zh-CN"/>
        </w:rPr>
        <w:t>三、基金的运作方式</w:t>
      </w:r>
    </w:p>
    <w:p w:rsidR="009C732C">
      <w:pPr>
        <w:spacing w:line="360" w:lineRule="auto"/>
        <w:ind w:firstLine="480"/>
        <w:rPr>
          <w:rFonts w:ascii="宋体" w:cs="宋体"/>
          <w:bCs/>
          <w:sz w:val="24"/>
          <w:szCs w:val="24"/>
          <w:lang w:eastAsia="zh-CN"/>
        </w:rPr>
      </w:pPr>
      <w:r>
        <w:rPr>
          <w:rFonts w:ascii="宋体" w:cs="宋体" w:hint="eastAsia"/>
          <w:bCs/>
          <w:sz w:val="24"/>
          <w:szCs w:val="24"/>
          <w:lang w:eastAsia="zh-CN"/>
        </w:rPr>
        <w:t>契约型开放式</w:t>
      </w:r>
    </w:p>
    <w:p w:rsidR="009C732C">
      <w:pPr>
        <w:spacing w:line="360" w:lineRule="auto"/>
        <w:ind w:left="796" w:hanging="256"/>
        <w:rPr>
          <w:rFonts w:ascii="宋体" w:cs="宋体"/>
          <w:sz w:val="24"/>
          <w:szCs w:val="24"/>
          <w:lang w:eastAsia="zh-CN"/>
        </w:rPr>
      </w:pPr>
    </w:p>
    <w:p w:rsidR="009C732C">
      <w:pPr>
        <w:spacing w:line="360" w:lineRule="auto"/>
        <w:ind w:firstLine="480"/>
        <w:rPr>
          <w:rFonts w:ascii="宋体"/>
          <w:bCs/>
          <w:sz w:val="24"/>
          <w:lang w:eastAsia="zh-CN"/>
        </w:rPr>
      </w:pPr>
      <w:r>
        <w:rPr>
          <w:rFonts w:ascii="宋体" w:cs="宋体" w:hint="eastAsia"/>
          <w:sz w:val="24"/>
          <w:szCs w:val="24"/>
          <w:highlight w:val="white"/>
          <w:lang w:eastAsia="zh-CN"/>
        </w:rPr>
        <w:t>四、</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及</w:t>
      </w:r>
      <w:r>
        <w:rPr>
          <w:rFonts w:ascii="宋体"/>
          <w:bCs/>
          <w:sz w:val="24"/>
          <w:highlight w:val="white"/>
          <w:lang w:eastAsia="zh-CN"/>
        </w:rPr>
        <w:t>标的指数</w:t>
      </w:r>
    </w:p>
    <w:p w:rsidR="009C732C">
      <w:pPr>
        <w:spacing w:line="360" w:lineRule="auto"/>
        <w:ind w:firstLine="480"/>
        <w:rPr>
          <w:rFonts w:ascii="宋体"/>
          <w:bCs/>
          <w:sz w:val="24"/>
          <w:lang w:eastAsia="zh-CN"/>
        </w:rPr>
      </w:pPr>
      <w:r>
        <w:rPr>
          <w:rFonts w:ascii="宋体" w:hint="eastAsia"/>
          <w:bCs/>
          <w:sz w:val="24"/>
          <w:highlight w:val="white"/>
          <w:lang w:eastAsia="zh-CN"/>
        </w:rPr>
        <w:t>本基金的目标</w:t>
      </w:r>
      <w:r>
        <w:rPr>
          <w:rFonts w:ascii="宋体"/>
          <w:bCs/>
          <w:sz w:val="24"/>
          <w:highlight w:val="white"/>
          <w:lang w:eastAsia="zh-CN"/>
        </w:rPr>
        <w:t>ETF</w:t>
      </w:r>
      <w:r>
        <w:rPr>
          <w:rFonts w:ascii="宋体" w:hint="eastAsia"/>
          <w:bCs/>
          <w:sz w:val="24"/>
          <w:highlight w:val="white"/>
          <w:lang w:eastAsia="zh-CN"/>
        </w:rPr>
        <w:t>为</w:t>
      </w:r>
      <w:r>
        <w:rPr>
          <w:rFonts w:ascii="宋体" w:cs="宋体" w:hint="eastAsia"/>
          <w:sz w:val="24"/>
          <w:szCs w:val="24"/>
          <w:lang w:eastAsia="zh-CN"/>
        </w:rPr>
        <w:t>易方达国证机器人产业交易型开放式指数证券投资基金</w:t>
      </w:r>
      <w:r>
        <w:rPr>
          <w:rFonts w:ascii="宋体" w:hint="eastAsia"/>
          <w:bCs/>
          <w:sz w:val="24"/>
          <w:highlight w:val="white"/>
          <w:lang w:eastAsia="zh-CN"/>
        </w:rPr>
        <w:t>，简称“</w:t>
      </w:r>
      <w:r>
        <w:rPr>
          <w:rFonts w:ascii="宋体" w:cs="宋体" w:hint="eastAsia"/>
          <w:sz w:val="24"/>
          <w:szCs w:val="24"/>
          <w:lang w:eastAsia="zh-CN"/>
        </w:rPr>
        <w:t>易方达国证机器人产业ETF</w:t>
      </w:r>
      <w:r>
        <w:rPr>
          <w:rFonts w:ascii="宋体" w:hint="eastAsia"/>
          <w:bCs/>
          <w:sz w:val="24"/>
          <w:highlight w:val="white"/>
          <w:lang w:eastAsia="zh-CN"/>
        </w:rPr>
        <w:t>”，标的指数为</w:t>
      </w:r>
      <w:r>
        <w:rPr>
          <w:rFonts w:ascii="宋体" w:cs="宋体"/>
          <w:sz w:val="24"/>
          <w:szCs w:val="24"/>
          <w:lang w:eastAsia="zh-CN"/>
        </w:rPr>
        <w:t>国证机器人产业指数</w:t>
      </w:r>
      <w:r>
        <w:rPr>
          <w:rFonts w:ascii="宋体"/>
          <w:bCs/>
          <w:sz w:val="24"/>
          <w:highlight w:val="white"/>
          <w:lang w:eastAsia="zh-CN"/>
        </w:rPr>
        <w:t>。</w:t>
      </w:r>
    </w:p>
    <w:p w:rsidR="009C732C">
      <w:pPr>
        <w:spacing w:line="360" w:lineRule="auto"/>
        <w:ind w:firstLine="480"/>
        <w:rPr>
          <w:rFonts w:ascii="宋体"/>
          <w:bCs/>
          <w:sz w:val="24"/>
          <w:lang w:eastAsia="zh-CN"/>
        </w:rPr>
      </w:pPr>
    </w:p>
    <w:p w:rsidR="009C732C">
      <w:pPr>
        <w:spacing w:line="360" w:lineRule="auto"/>
        <w:ind w:firstLine="480"/>
        <w:rPr>
          <w:rFonts w:ascii="宋体" w:cs="宋体"/>
          <w:sz w:val="24"/>
          <w:szCs w:val="24"/>
          <w:lang w:eastAsia="zh-CN"/>
        </w:rPr>
      </w:pPr>
      <w:r>
        <w:rPr>
          <w:rFonts w:ascii="宋体" w:hint="eastAsia"/>
          <w:bCs/>
          <w:sz w:val="24"/>
          <w:highlight w:val="white"/>
          <w:lang w:eastAsia="zh-CN"/>
        </w:rPr>
        <w:t>五</w:t>
      </w:r>
      <w:r>
        <w:rPr>
          <w:rFonts w:ascii="宋体"/>
          <w:bCs/>
          <w:sz w:val="24"/>
          <w:highlight w:val="white"/>
          <w:lang w:eastAsia="zh-CN"/>
        </w:rPr>
        <w:t>、</w:t>
      </w:r>
      <w:r>
        <w:rPr>
          <w:rFonts w:ascii="宋体" w:cs="宋体" w:hint="eastAsia"/>
          <w:sz w:val="24"/>
          <w:szCs w:val="24"/>
          <w:highlight w:val="white"/>
          <w:lang w:eastAsia="zh-CN"/>
        </w:rPr>
        <w:t>基金的投资目标</w:t>
      </w:r>
      <w:bookmarkEnd w:id="76"/>
    </w:p>
    <w:p w:rsidR="009C732C">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bookmarkStart w:id="77" w:name="_Toc79392576"/>
      <w:r>
        <w:rPr>
          <w:rFonts w:ascii="宋体" w:cs="宋体" w:hint="eastAsia"/>
          <w:sz w:val="24"/>
          <w:szCs w:val="24"/>
          <w:highlight w:val="white"/>
          <w:lang w:eastAsia="zh-CN"/>
        </w:rPr>
        <w:t>六、基金的最低募集份额总额</w:t>
      </w:r>
      <w:bookmarkEnd w:id="77"/>
    </w:p>
    <w:p w:rsidR="009C732C">
      <w:pPr>
        <w:spacing w:line="360" w:lineRule="auto"/>
        <w:ind w:firstLine="480"/>
        <w:rPr>
          <w:rFonts w:ascii="宋体" w:cs="宋体"/>
          <w:bCs/>
          <w:sz w:val="24"/>
          <w:szCs w:val="24"/>
          <w:lang w:eastAsia="zh-CN"/>
        </w:rPr>
      </w:pPr>
      <w:r>
        <w:rPr>
          <w:rFonts w:ascii="宋体" w:cs="宋体"/>
          <w:sz w:val="24"/>
          <w:szCs w:val="24"/>
          <w:lang w:eastAsia="zh-CN"/>
        </w:rPr>
        <w:t>本基金的最低募集份额总额为1000万份。</w:t>
      </w:r>
    </w:p>
    <w:p w:rsidR="009C732C">
      <w:pPr>
        <w:spacing w:line="360" w:lineRule="auto"/>
        <w:ind w:firstLine="480"/>
        <w:rPr>
          <w:rFonts w:ascii="宋体" w:cs="宋体"/>
          <w:bCs/>
          <w:sz w:val="24"/>
          <w:szCs w:val="24"/>
          <w:lang w:eastAsia="zh-CN"/>
        </w:rPr>
      </w:pP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bCs/>
          <w:sz w:val="24"/>
          <w:szCs w:val="24"/>
          <w:lang w:eastAsia="zh-CN"/>
        </w:rPr>
        <w:t>发起资金的认购金额下限、持有期限下限</w:t>
      </w:r>
    </w:p>
    <w:p w:rsidR="009C732C">
      <w:pPr>
        <w:spacing w:line="360" w:lineRule="auto"/>
        <w:ind w:firstLine="480"/>
        <w:rPr>
          <w:rFonts w:ascii="宋体" w:cs="宋体"/>
          <w:sz w:val="24"/>
          <w:szCs w:val="24"/>
          <w:lang w:eastAsia="zh-CN"/>
        </w:rPr>
      </w:pPr>
      <w:r>
        <w:rPr>
          <w:rFonts w:ascii="宋体" w:cs="宋体"/>
          <w:bCs/>
          <w:sz w:val="24"/>
          <w:szCs w:val="24"/>
          <w:lang w:eastAsia="zh-CN"/>
        </w:rPr>
        <w:t>认购本基金的发起资金金额不少于1000万元，且发起资金认购的基金份额持有期限不少于3年，法律法规、中国证监会另有规定的除外。</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bCs/>
          <w:sz w:val="24"/>
          <w:szCs w:val="24"/>
          <w:lang w:eastAsia="zh-CN"/>
        </w:rPr>
      </w:pPr>
      <w:bookmarkStart w:id="78" w:name="_Toc79392577"/>
      <w:r>
        <w:rPr>
          <w:rFonts w:ascii="宋体" w:cs="宋体" w:hint="eastAsia"/>
          <w:sz w:val="24"/>
          <w:szCs w:val="24"/>
          <w:highlight w:val="white"/>
          <w:lang w:eastAsia="zh-CN"/>
        </w:rPr>
        <w:t>八、基金</w:t>
      </w:r>
      <w:r>
        <w:rPr>
          <w:rFonts w:ascii="宋体" w:cs="宋体" w:hint="eastAsia"/>
          <w:bCs/>
          <w:sz w:val="24"/>
          <w:szCs w:val="24"/>
          <w:highlight w:val="white"/>
          <w:lang w:eastAsia="zh-CN"/>
        </w:rPr>
        <w:t>份额面值</w:t>
      </w:r>
      <w:bookmarkEnd w:id="78"/>
      <w:r>
        <w:rPr>
          <w:rFonts w:ascii="宋体" w:cs="宋体" w:hint="eastAsia"/>
          <w:bCs/>
          <w:sz w:val="24"/>
          <w:szCs w:val="24"/>
          <w:highlight w:val="white"/>
          <w:lang w:eastAsia="zh-CN"/>
        </w:rPr>
        <w:t>和认购费用</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本基金基金份额发售面值为人民币</w:t>
      </w:r>
      <w:r>
        <w:rPr>
          <w:rFonts w:ascii="宋体" w:cs="宋体"/>
          <w:bCs/>
          <w:sz w:val="24"/>
          <w:szCs w:val="24"/>
          <w:highlight w:val="white"/>
          <w:lang w:eastAsia="zh-CN"/>
        </w:rPr>
        <w:t>1.00</w:t>
      </w:r>
      <w:r>
        <w:rPr>
          <w:rFonts w:ascii="宋体" w:cs="宋体" w:hint="eastAsia"/>
          <w:bCs/>
          <w:sz w:val="24"/>
          <w:szCs w:val="24"/>
          <w:highlight w:val="white"/>
          <w:lang w:eastAsia="zh-CN"/>
        </w:rPr>
        <w:t>元。</w:t>
      </w:r>
    </w:p>
    <w:p w:rsidR="009C732C">
      <w:pPr>
        <w:spacing w:line="360" w:lineRule="auto"/>
        <w:ind w:firstLine="480"/>
        <w:jc w:val="left"/>
        <w:rPr>
          <w:rFonts w:ascii="宋体" w:cs="宋体"/>
          <w:bCs/>
          <w:sz w:val="24"/>
          <w:szCs w:val="24"/>
          <w:lang w:eastAsia="zh-CN"/>
        </w:rPr>
      </w:pPr>
      <w:r>
        <w:rPr>
          <w:rFonts w:ascii="宋体" w:cs="宋体"/>
          <w:bCs/>
          <w:sz w:val="24"/>
          <w:szCs w:val="24"/>
          <w:highlight w:val="white"/>
          <w:lang w:eastAsia="zh-CN"/>
        </w:rPr>
        <w:t>本基金认购费率按招募说明书的规定执行。</w:t>
      </w:r>
    </w:p>
    <w:p w:rsidR="009C732C">
      <w:pPr>
        <w:spacing w:line="360" w:lineRule="auto"/>
        <w:ind w:firstLine="480"/>
        <w:jc w:val="left"/>
        <w:rPr>
          <w:rFonts w:ascii="宋体" w:cs="宋体"/>
          <w:bCs/>
          <w:sz w:val="24"/>
          <w:szCs w:val="24"/>
          <w:lang w:eastAsia="zh-CN"/>
        </w:rPr>
      </w:pPr>
    </w:p>
    <w:p w:rsidR="009C732C">
      <w:pPr>
        <w:spacing w:line="360" w:lineRule="auto"/>
        <w:ind w:firstLine="480"/>
        <w:rPr>
          <w:rFonts w:ascii="宋体" w:cs="宋体"/>
          <w:sz w:val="24"/>
          <w:szCs w:val="24"/>
          <w:lang w:eastAsia="zh-CN"/>
        </w:rPr>
      </w:pPr>
      <w:bookmarkStart w:id="79" w:name="_Toc79392578"/>
      <w:r>
        <w:rPr>
          <w:rFonts w:ascii="宋体" w:cs="宋体" w:hint="eastAsia"/>
          <w:bCs/>
          <w:sz w:val="24"/>
          <w:szCs w:val="24"/>
          <w:highlight w:val="white"/>
          <w:lang w:eastAsia="zh-CN"/>
        </w:rPr>
        <w:t>九、基金</w:t>
      </w:r>
      <w:r>
        <w:rPr>
          <w:rFonts w:ascii="宋体" w:cs="宋体" w:hint="eastAsia"/>
          <w:sz w:val="24"/>
          <w:szCs w:val="24"/>
          <w:highlight w:val="white"/>
          <w:lang w:eastAsia="zh-CN"/>
        </w:rPr>
        <w:t>存续期限</w:t>
      </w:r>
      <w:bookmarkEnd w:id="79"/>
    </w:p>
    <w:p w:rsidR="009C732C">
      <w:pPr>
        <w:spacing w:line="360" w:lineRule="auto"/>
        <w:ind w:firstLine="480"/>
        <w:rPr>
          <w:rFonts w:ascii="宋体" w:cs="宋体"/>
          <w:sz w:val="24"/>
          <w:szCs w:val="24"/>
          <w:lang w:eastAsia="zh-CN"/>
        </w:rPr>
      </w:pPr>
      <w:r>
        <w:rPr>
          <w:rFonts w:ascii="宋体" w:cs="宋体" w:hint="eastAsia"/>
          <w:sz w:val="24"/>
          <w:szCs w:val="24"/>
          <w:lang w:eastAsia="zh-CN"/>
        </w:rPr>
        <w:t>不定期</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十、基金份额的类别</w:t>
      </w:r>
    </w:p>
    <w:p w:rsidR="009C732C">
      <w:pPr>
        <w:spacing w:line="360" w:lineRule="auto"/>
        <w:ind w:firstLine="480"/>
        <w:rPr>
          <w:rFonts w:ascii="宋体" w:cs="宋体"/>
          <w:bCs/>
          <w:sz w:val="24"/>
          <w:szCs w:val="24"/>
          <w:lang w:eastAsia="zh-CN"/>
        </w:rPr>
      </w:pPr>
      <w:r>
        <w:rPr>
          <w:rFonts w:asci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cs="宋体" w:hint="eastAsia"/>
          <w:bCs/>
          <w:sz w:val="24"/>
          <w:szCs w:val="24"/>
          <w:highlight w:val="white"/>
          <w:lang w:eastAsia="zh-CN"/>
        </w:rPr>
        <w:t>具体费率的设置及费率水平在招募说明书或相关公告中列示。</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本基金各类基金份额分别设置代码，分别计算并公布基金份额净值和基金份额累计净值。</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投资人在认购</w:t>
      </w:r>
      <w:r>
        <w:rPr>
          <w:rFonts w:ascii="宋体" w:cs="宋体"/>
          <w:bCs/>
          <w:sz w:val="24"/>
          <w:szCs w:val="24"/>
          <w:highlight w:val="white"/>
          <w:lang w:eastAsia="zh-CN"/>
        </w:rPr>
        <w:t>/</w:t>
      </w:r>
      <w:r>
        <w:rPr>
          <w:rFonts w:ascii="宋体" w:cs="宋体" w:hint="eastAsia"/>
          <w:bCs/>
          <w:sz w:val="24"/>
          <w:szCs w:val="24"/>
          <w:highlight w:val="white"/>
          <w:lang w:eastAsia="zh-CN"/>
        </w:rPr>
        <w:t>申购基金份额时可自行选择基金份额类别。本基金不同基金份额类别之间的转换规定请见招募说明书或相关公告。</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9C732C">
      <w:pPr>
        <w:spacing w:line="360" w:lineRule="auto"/>
        <w:ind w:firstLine="480"/>
        <w:rPr>
          <w:rFonts w:ascii="宋体" w:cs="宋体"/>
          <w:bCs/>
          <w:sz w:val="24"/>
          <w:szCs w:val="24"/>
          <w:lang w:eastAsia="zh-CN"/>
        </w:rPr>
      </w:pPr>
    </w:p>
    <w:p w:rsidR="009C732C">
      <w:pPr>
        <w:spacing w:line="360" w:lineRule="auto"/>
        <w:ind w:firstLine="480"/>
        <w:rPr>
          <w:rFonts w:ascii="宋体"/>
          <w:bCs/>
          <w:sz w:val="24"/>
          <w:lang w:eastAsia="zh-CN"/>
        </w:rPr>
      </w:pPr>
      <w:r>
        <w:rPr>
          <w:rFonts w:ascii="宋体" w:hint="eastAsia"/>
          <w:bCs/>
          <w:sz w:val="24"/>
          <w:highlight w:val="white"/>
          <w:lang w:eastAsia="zh-CN"/>
        </w:rPr>
        <w:t>十一、本基金与目标ETF 的联系与区别</w:t>
      </w:r>
    </w:p>
    <w:p w:rsidR="009C732C">
      <w:pPr>
        <w:spacing w:line="360" w:lineRule="auto"/>
        <w:ind w:firstLine="480"/>
        <w:rPr>
          <w:rFonts w:ascii="宋体"/>
          <w:bCs/>
          <w:sz w:val="24"/>
          <w:lang w:eastAsia="zh-CN"/>
        </w:rPr>
      </w:pPr>
      <w:r>
        <w:rPr>
          <w:rFonts w:ascii="宋体" w:hint="eastAsia"/>
          <w:bCs/>
          <w:sz w:val="24"/>
          <w:highlight w:val="white"/>
          <w:lang w:eastAsia="zh-CN"/>
        </w:rPr>
        <w:t>本基金为目标E</w:t>
      </w:r>
      <w:r>
        <w:rPr>
          <w:rFonts w:ascii="宋体"/>
          <w:bCs/>
          <w:sz w:val="24"/>
          <w:highlight w:val="white"/>
          <w:lang w:eastAsia="zh-CN"/>
        </w:rPr>
        <w:t>TF</w:t>
      </w:r>
      <w:r>
        <w:rPr>
          <w:rFonts w:ascii="宋体" w:hint="eastAsia"/>
          <w:bCs/>
          <w:sz w:val="24"/>
          <w:highlight w:val="white"/>
          <w:lang w:eastAsia="zh-CN"/>
        </w:rPr>
        <w:t>的联接基金，二者既有联系也有区别。</w:t>
      </w:r>
    </w:p>
    <w:p w:rsidR="009C732C">
      <w:pPr>
        <w:spacing w:line="360" w:lineRule="auto"/>
        <w:ind w:firstLine="480"/>
        <w:rPr>
          <w:rFonts w:ascii="宋体"/>
          <w:bCs/>
          <w:sz w:val="24"/>
          <w:lang w:eastAsia="zh-CN"/>
        </w:rPr>
      </w:pPr>
      <w:r>
        <w:rPr>
          <w:rFonts w:ascii="宋体" w:hint="eastAsia"/>
          <w:bCs/>
          <w:sz w:val="24"/>
          <w:highlight w:val="white"/>
          <w:lang w:eastAsia="zh-CN"/>
        </w:rPr>
        <w:t>本基金与目标ETF之间的联系：（1）两只基金的投资目标均为紧密跟踪业绩比较基准；（2）两只基金具有相似的风险收益特征；（3）目标ETF是本基金的主要投资对象。</w:t>
      </w:r>
    </w:p>
    <w:p w:rsidR="009C732C">
      <w:pPr>
        <w:spacing w:line="360" w:lineRule="auto"/>
        <w:ind w:firstLine="480"/>
        <w:rPr>
          <w:rFonts w:ascii="宋体"/>
          <w:bCs/>
          <w:sz w:val="24"/>
          <w:lang w:eastAsia="zh-CN"/>
        </w:rPr>
      </w:pPr>
      <w:r>
        <w:rPr>
          <w:rFonts w:ascii="宋体" w:hint="eastAsia"/>
          <w:bCs/>
          <w:sz w:val="24"/>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9C732C">
      <w:pPr>
        <w:spacing w:line="360" w:lineRule="auto"/>
        <w:ind w:firstLine="480"/>
        <w:rPr>
          <w:rFonts w:ascii="宋体"/>
          <w:bCs/>
          <w:sz w:val="24"/>
          <w:lang w:eastAsia="zh-CN"/>
        </w:rPr>
      </w:pPr>
      <w:r>
        <w:rPr>
          <w:rFonts w:ascii="宋体" w:hint="eastAsia"/>
          <w:bCs/>
          <w:sz w:val="24"/>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9C732C">
      <w:pPr>
        <w:pStyle w:val="11"/>
        <w:spacing w:before="0" w:after="0"/>
        <w:ind w:firstLine="525"/>
        <w:jc w:val="center"/>
        <w:rPr>
          <w:rFonts w:cs="宋体"/>
          <w:b w:val="0"/>
          <w:sz w:val="30"/>
          <w:lang w:eastAsia="zh-CN"/>
        </w:rPr>
      </w:pPr>
      <w:r>
        <w:rPr>
          <w:rFonts w:cs="宋体"/>
          <w:b w:val="0"/>
          <w:color w:val="auto"/>
          <w:sz w:val="21"/>
          <w:highlight w:val="white"/>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6327209"/>
      <w:bookmarkStart w:id="92" w:name="_Toc446339242"/>
      <w:bookmarkStart w:id="93" w:name="_Toc24682"/>
      <w:bookmarkStart w:id="94" w:name="_Toc16265"/>
      <w:bookmarkStart w:id="95" w:name="_Toc29948"/>
      <w:r>
        <w:rPr>
          <w:rFonts w:cs="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9C732C">
      <w:pPr>
        <w:spacing w:line="360" w:lineRule="auto"/>
        <w:ind w:firstLine="42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一、基金份额的发售时间、发售方式、发售对象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、发售时间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自基金份额发售之日起最长不得超过</w:t>
      </w:r>
      <w:r>
        <w:rPr>
          <w:rFonts w:ascii="宋体" w:cs="宋体"/>
          <w:sz w:val="24"/>
          <w:szCs w:val="24"/>
          <w:highlight w:val="white"/>
          <w:lang w:eastAsia="zh-CN"/>
        </w:rPr>
        <w:t>3</w:t>
      </w:r>
      <w:r>
        <w:rPr>
          <w:rFonts w:ascii="宋体" w:cs="宋体" w:hint="eastAsia"/>
          <w:sz w:val="24"/>
          <w:szCs w:val="24"/>
          <w:highlight w:val="white"/>
          <w:lang w:eastAsia="zh-CN"/>
        </w:rPr>
        <w:t>个月，具体发售时间见基金份额发售公告。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、发售方式</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通过各销售机构</w:t>
      </w:r>
      <w:r>
        <w:rPr>
          <w:rFonts w:ascii="宋体" w:cs="宋体" w:hint="eastAsia"/>
          <w:bCs/>
          <w:sz w:val="24"/>
          <w:szCs w:val="24"/>
          <w:highlight w:val="white"/>
          <w:lang w:eastAsia="zh-CN"/>
        </w:rPr>
        <w:t>的基金销售网点</w:t>
      </w:r>
      <w:r>
        <w:rPr>
          <w:rFonts w:ascii="宋体" w:cs="宋体" w:hint="eastAsia"/>
          <w:sz w:val="24"/>
          <w:szCs w:val="24"/>
          <w:highlight w:val="white"/>
          <w:lang w:eastAsia="zh-CN"/>
        </w:rPr>
        <w:t>公开发售</w:t>
      </w:r>
      <w:r>
        <w:rPr>
          <w:rFonts w:ascii="宋体" w:cs="宋体" w:hint="eastAsia"/>
          <w:bCs/>
          <w:sz w:val="24"/>
          <w:szCs w:val="24"/>
          <w:highlight w:val="white"/>
          <w:lang w:eastAsia="zh-CN"/>
        </w:rPr>
        <w:t>，销售机构具体名单见基金份额发售公告，基金管理人可根据情况变更或增减销售机构并在基金管理人网站公示。</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cs="宋体" w:hint="eastAsia"/>
          <w:bCs/>
          <w:sz w:val="24"/>
          <w:szCs w:val="24"/>
          <w:highlight w:val="white"/>
          <w:lang w:eastAsia="zh-CN"/>
        </w:rPr>
        <w:t>投资人应及时查询并妥善行使合法权利</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、发售对象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二、基金份额的认购</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、认购费用</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的认购费率由基金管理人决定</w:t>
      </w:r>
      <w:r>
        <w:rPr>
          <w:rFonts w:ascii="宋体" w:cs="宋体" w:hint="eastAsia"/>
          <w:sz w:val="24"/>
          <w:szCs w:val="24"/>
          <w:highlight w:val="white"/>
          <w:lang w:eastAsia="zh-CN"/>
        </w:rPr>
        <w:t>，并在招募说明书中列示。基金认购费用不列入基金财产。</w:t>
      </w:r>
      <w:r>
        <w:rPr>
          <w:rFonts w:ascii="宋体" w:cs="宋体"/>
          <w:sz w:val="24"/>
          <w:szCs w:val="24"/>
          <w:highlight w:val="white"/>
          <w:lang w:eastAsia="zh-CN"/>
        </w:rPr>
        <w:t>C</w:t>
      </w:r>
      <w:r>
        <w:rPr>
          <w:rFonts w:ascii="宋体" w:cs="宋体" w:hint="eastAsia"/>
          <w:sz w:val="24"/>
          <w:szCs w:val="24"/>
          <w:highlight w:val="white"/>
          <w:lang w:eastAsia="zh-CN"/>
        </w:rPr>
        <w:t>类基金份额不收取认购费。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、募集期利息的处理方式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有效认购款项在募集期间产生的利息将折算为基金份额归基金份额持有人所有，其中利息转份额以登记机构的记录为准。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、基金认购份额的计算</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基金认购份额具体的计算方法在招募说明书中列示。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、认购份额余额的处理方式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认购份额</w:t>
      </w:r>
      <w:bookmarkStart w:id="96" w:name="OLE_LINK1"/>
      <w:r>
        <w:rPr>
          <w:rFonts w:ascii="宋体" w:cs="宋体" w:hint="eastAsia"/>
          <w:sz w:val="24"/>
          <w:szCs w:val="24"/>
          <w:highlight w:val="white"/>
          <w:lang w:eastAsia="zh-CN"/>
        </w:rPr>
        <w:t>的计算</w:t>
      </w:r>
      <w:bookmarkEnd w:id="96"/>
      <w:r>
        <w:rPr>
          <w:rFonts w:ascii="宋体" w:cs="宋体" w:hint="eastAsia"/>
          <w:sz w:val="24"/>
          <w:szCs w:val="24"/>
          <w:highlight w:val="white"/>
          <w:lang w:eastAsia="zh-CN"/>
        </w:rPr>
        <w:t>保留到小数点后</w:t>
      </w:r>
      <w:r>
        <w:rPr>
          <w:rFonts w:ascii="宋体" w:cs="宋体" w:hint="eastAsia"/>
          <w:bCs/>
          <w:sz w:val="24"/>
          <w:szCs w:val="24"/>
          <w:highlight w:val="white"/>
          <w:lang w:eastAsia="zh-CN"/>
        </w:rPr>
        <w:t>2</w:t>
      </w:r>
      <w:r>
        <w:rPr>
          <w:rFonts w:ascii="宋体" w:cs="宋体" w:hint="eastAsia"/>
          <w:sz w:val="24"/>
          <w:szCs w:val="24"/>
          <w:highlight w:val="white"/>
          <w:lang w:eastAsia="zh-CN"/>
        </w:rPr>
        <w:t>位，小数点</w:t>
      </w:r>
      <w:r>
        <w:rPr>
          <w:rFonts w:ascii="宋体" w:cs="宋体" w:hint="eastAsia"/>
          <w:bCs/>
          <w:sz w:val="24"/>
          <w:szCs w:val="24"/>
          <w:highlight w:val="white"/>
          <w:lang w:eastAsia="zh-CN"/>
        </w:rPr>
        <w:t>2</w:t>
      </w:r>
      <w:r>
        <w:rPr>
          <w:rFonts w:ascii="宋体" w:cs="宋体" w:hint="eastAsia"/>
          <w:sz w:val="24"/>
          <w:szCs w:val="24"/>
          <w:highlight w:val="white"/>
          <w:lang w:eastAsia="zh-CN"/>
        </w:rPr>
        <w:t>位以后的部分四舍五入，由此误差产生的收益或损失由基金财产承担。</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三、基金份额认购金额的限制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、投资人认购时，需按销售机构规定的方式全额缴款。</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、基金管理人可以对每个基金交易账户的认购金额进行限制，具体限制请参看招募说明书或相关公告。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、基金管理人可以对募集期间的单个投资人的累计认购金额进行限制，具体限制和处理方法请参看招募说明书或相关公告。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、基金管理人可以对本基金的募集规模下限、募集规模上限进行限制，具体限制和处理方法请参看招募说明书或相关公告。</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w:t>
      </w:r>
      <w:r>
        <w:rPr>
          <w:rFonts w:ascii="宋体" w:cs="宋体"/>
          <w:sz w:val="24"/>
          <w:szCs w:val="24"/>
          <w:lang w:eastAsia="zh-CN"/>
        </w:rPr>
        <w:t>发起资金的认购</w:t>
      </w:r>
    </w:p>
    <w:p w:rsidR="009C732C">
      <w:pPr>
        <w:spacing w:line="360" w:lineRule="auto"/>
        <w:ind w:firstLine="480"/>
        <w:rPr>
          <w:rFonts w:ascii="宋体" w:cs="宋体"/>
          <w:sz w:val="24"/>
          <w:szCs w:val="24"/>
          <w:lang w:eastAsia="zh-CN"/>
        </w:rPr>
      </w:pPr>
      <w:r>
        <w:rPr>
          <w:rFonts w:ascii="宋体" w:cs="宋体"/>
          <w:sz w:val="24"/>
          <w:szCs w:val="24"/>
          <w:lang w:eastAsia="zh-CN"/>
        </w:rPr>
        <w:t>基金管理人股东资金、基金管理人固有资金、基金管理人高级管理人员、基金经理等人员认购金额不低于1000万元，认购的基金份额持有期限不少于3年。法律法规、中国证监会另有规定的除外。</w:t>
      </w:r>
    </w:p>
    <w:p w:rsidR="009C732C">
      <w:pPr>
        <w:spacing w:line="360" w:lineRule="auto"/>
        <w:ind w:firstLine="480"/>
        <w:rPr>
          <w:rFonts w:ascii="宋体" w:cs="宋体"/>
          <w:sz w:val="24"/>
          <w:szCs w:val="24"/>
          <w:lang w:eastAsia="zh-CN"/>
        </w:rPr>
      </w:pPr>
      <w:r>
        <w:rPr>
          <w:rFonts w:ascii="宋体" w:cs="宋体"/>
          <w:sz w:val="24"/>
          <w:szCs w:val="24"/>
          <w:lang w:eastAsia="zh-CN"/>
        </w:rPr>
        <w:t>本基金发起资金的认购情况见基金管理人届时发布的公告。</w:t>
      </w:r>
    </w:p>
    <w:p w:rsidR="009C732C">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97" w:name="_Toc18797"/>
      <w:bookmarkStart w:id="98" w:name="_Toc18329"/>
      <w:bookmarkStart w:id="99" w:name="_Toc18526"/>
      <w:bookmarkStart w:id="100" w:name="_Toc6327210"/>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r>
        <w:rPr>
          <w:rFonts w:cs="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9C732C">
      <w:pPr>
        <w:spacing w:line="360" w:lineRule="auto"/>
        <w:ind w:firstLine="54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一、基金备案的条件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本基金自基金份额发售之日起</w:t>
      </w:r>
      <w:r>
        <w:rPr>
          <w:rFonts w:ascii="宋体" w:cs="宋体"/>
          <w:sz w:val="24"/>
          <w:szCs w:val="24"/>
          <w:highlight w:val="white"/>
          <w:lang w:eastAsia="zh-CN"/>
        </w:rPr>
        <w:t>3</w:t>
      </w:r>
      <w:r>
        <w:rPr>
          <w:rFonts w:ascii="宋体" w:cs="宋体" w:hint="eastAsia"/>
          <w:sz w:val="24"/>
          <w:szCs w:val="24"/>
          <w:highlight w:val="white"/>
          <w:lang w:eastAsia="zh-CN"/>
        </w:rPr>
        <w:t>个月内，</w:t>
      </w:r>
      <w:r>
        <w:rPr>
          <w:rFonts w:ascii="宋体" w:cs="宋体"/>
          <w:sz w:val="24"/>
          <w:szCs w:val="24"/>
          <w:lang w:eastAsia="zh-CN"/>
        </w:rPr>
        <w:t>在基金募集份额总额不少于1000万份，基金募集金额不少于1000万元人民币的条件下，</w:t>
      </w:r>
      <w:r>
        <w:rPr>
          <w:rFonts w:ascii="宋体" w:cs="宋体"/>
          <w:sz w:val="24"/>
          <w:szCs w:val="24"/>
          <w:highlight w:val="white"/>
          <w:lang w:eastAsia="zh-CN"/>
        </w:rPr>
        <w:t>基金募集期届满或基金管理人依据法律法规及招募说明书可以决定停止基金发售，并在10</w:t>
      </w:r>
      <w:r>
        <w:rPr>
          <w:rFonts w:ascii="宋体" w:cs="宋体" w:hint="eastAsia"/>
          <w:sz w:val="24"/>
          <w:szCs w:val="24"/>
          <w:highlight w:val="white"/>
          <w:lang w:eastAsia="zh-CN"/>
        </w:rPr>
        <w:t>日内聘请法定验资机构验资。</w:t>
      </w:r>
      <w:r>
        <w:rPr>
          <w:rFonts w:ascii="宋体" w:cs="宋体"/>
          <w:sz w:val="24"/>
          <w:szCs w:val="24"/>
          <w:lang w:eastAsia="zh-CN"/>
        </w:rPr>
        <w:t>验资机构应在验资报告中对发起资金的持有人及其持有份额进行专门说明。</w:t>
      </w:r>
      <w:r>
        <w:rPr>
          <w:rFonts w:ascii="宋体" w:cs="宋体" w:hint="eastAsia"/>
          <w:sz w:val="24"/>
          <w:szCs w:val="24"/>
          <w:highlight w:val="white"/>
          <w:lang w:eastAsia="zh-CN"/>
        </w:rPr>
        <w:t>基金管理人自收到验资报告之日起</w:t>
      </w:r>
      <w:r>
        <w:rPr>
          <w:rFonts w:ascii="宋体" w:cs="宋体"/>
          <w:sz w:val="24"/>
          <w:szCs w:val="24"/>
          <w:highlight w:val="white"/>
          <w:lang w:eastAsia="zh-CN"/>
        </w:rPr>
        <w:t>10</w:t>
      </w:r>
      <w:r>
        <w:rPr>
          <w:rFonts w:ascii="宋体" w:cs="宋体" w:hint="eastAsia"/>
          <w:sz w:val="24"/>
          <w:szCs w:val="24"/>
          <w:highlight w:val="white"/>
          <w:lang w:eastAsia="zh-CN"/>
        </w:rPr>
        <w:t>日内，向中国证监会办理基金备案手续。</w:t>
      </w:r>
    </w:p>
    <w:p w:rsidR="009C732C">
      <w:pPr>
        <w:spacing w:line="360" w:lineRule="auto"/>
        <w:ind w:firstLine="480"/>
        <w:jc w:val="left"/>
        <w:rPr>
          <w:rFonts w:ascii="宋体" w:cs="宋体"/>
          <w:sz w:val="24"/>
          <w:szCs w:val="24"/>
          <w:lang w:eastAsia="zh-CN"/>
        </w:rPr>
      </w:pPr>
      <w:r>
        <w:rPr>
          <w:rFonts w:asci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二、基金合同不能生效时募集资金的处理方式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如果募集期限届满，未满足</w:t>
      </w:r>
      <w:r>
        <w:rPr>
          <w:rFonts w:ascii="宋体" w:cs="宋体" w:hint="eastAsia"/>
          <w:bCs/>
          <w:sz w:val="24"/>
          <w:szCs w:val="24"/>
          <w:highlight w:val="white"/>
          <w:lang w:eastAsia="zh-CN"/>
        </w:rPr>
        <w:t>基金备案</w:t>
      </w:r>
      <w:r>
        <w:rPr>
          <w:rFonts w:ascii="宋体" w:cs="宋体" w:hint="eastAsia"/>
          <w:sz w:val="24"/>
          <w:szCs w:val="24"/>
          <w:highlight w:val="white"/>
          <w:lang w:eastAsia="zh-CN"/>
        </w:rPr>
        <w:t>条件，基金管理人应当承担下列责任：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、以其固有财产承担因募集行为而产生的债务和费用；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、在基金募集期限届满后</w:t>
      </w:r>
      <w:r>
        <w:rPr>
          <w:rFonts w:ascii="宋体" w:cs="宋体"/>
          <w:sz w:val="24"/>
          <w:szCs w:val="24"/>
          <w:highlight w:val="white"/>
          <w:lang w:eastAsia="zh-CN"/>
        </w:rPr>
        <w:t>30</w:t>
      </w:r>
      <w:r>
        <w:rPr>
          <w:rFonts w:ascii="宋体" w:cs="宋体" w:hint="eastAsia"/>
          <w:sz w:val="24"/>
          <w:szCs w:val="24"/>
          <w:highlight w:val="white"/>
          <w:lang w:eastAsia="zh-CN"/>
        </w:rPr>
        <w:t>日内返还投资者已缴纳的款项，并加计银行同期活期存款利息；</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三、基金存续期内的基金份额持有人数量和资产规模</w:t>
      </w:r>
    </w:p>
    <w:p w:rsidR="009C732C">
      <w:pPr>
        <w:spacing w:line="360" w:lineRule="auto"/>
        <w:ind w:firstLine="480"/>
        <w:rPr>
          <w:rFonts w:ascii="宋体" w:cs="宋体"/>
          <w:sz w:val="24"/>
          <w:szCs w:val="24"/>
          <w:lang w:eastAsia="zh-CN"/>
        </w:rPr>
      </w:pPr>
      <w:r>
        <w:rPr>
          <w:rFonts w:ascii="宋体" w:cs="宋体"/>
          <w:sz w:val="24"/>
          <w:szCs w:val="24"/>
          <w:lang w:eastAsia="zh-CN"/>
        </w:rPr>
        <w:t>《基金合同》生效满三年后的存续期内，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法律法规或</w:t>
      </w:r>
      <w:r>
        <w:rPr>
          <w:rFonts w:ascii="宋体" w:cs="宋体" w:hint="eastAsia"/>
          <w:bCs/>
          <w:sz w:val="24"/>
          <w:szCs w:val="24"/>
          <w:highlight w:val="white"/>
          <w:lang w:eastAsia="zh-CN"/>
        </w:rPr>
        <w:t>中国证监会</w:t>
      </w:r>
      <w:r>
        <w:rPr>
          <w:rFonts w:ascii="宋体" w:cs="宋体" w:hint="eastAsia"/>
          <w:sz w:val="24"/>
          <w:szCs w:val="24"/>
          <w:highlight w:val="white"/>
          <w:lang w:eastAsia="zh-CN"/>
        </w:rPr>
        <w:t>另有规定时，从其规定。</w:t>
      </w:r>
    </w:p>
    <w:p w:rsidR="009C732C">
      <w:pPr>
        <w:spacing w:line="360" w:lineRule="auto"/>
        <w:ind w:firstLine="480"/>
        <w:rPr>
          <w:rFonts w:ascii="宋体" w:cs="宋体"/>
          <w:sz w:val="24"/>
          <w:szCs w:val="24"/>
          <w:lang w:eastAsia="zh-CN"/>
        </w:rPr>
      </w:pPr>
      <w:r>
        <w:rPr>
          <w:rFonts w:ascii="宋体" w:cs="宋体"/>
          <w:sz w:val="24"/>
          <w:szCs w:val="24"/>
          <w:lang w:eastAsia="zh-CN"/>
        </w:rPr>
        <w:t>四、基金的终止</w:t>
      </w:r>
    </w:p>
    <w:p w:rsidR="009C732C">
      <w:pPr>
        <w:spacing w:line="360" w:lineRule="auto"/>
        <w:ind w:firstLine="480"/>
        <w:rPr>
          <w:rFonts w:ascii="宋体" w:cs="宋体"/>
          <w:sz w:val="24"/>
          <w:szCs w:val="24"/>
          <w:lang w:eastAsia="zh-CN"/>
        </w:rPr>
      </w:pPr>
      <w:r>
        <w:rPr>
          <w:rFonts w:ascii="宋体" w:cs="宋体"/>
          <w:sz w:val="24"/>
          <w:szCs w:val="24"/>
          <w:lang w:eastAsia="zh-CN"/>
        </w:rPr>
        <w:t>《基金合同》生效之日起三年后的年度对应日，若基金资产净值低于2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rsidR="009C732C">
      <w:pPr>
        <w:pStyle w:val="11"/>
        <w:spacing w:before="0" w:after="0"/>
        <w:jc w:val="center"/>
        <w:rPr>
          <w:rFonts w:cs="宋体"/>
          <w:color w:val="auto"/>
          <w:sz w:val="30"/>
          <w:lang w:eastAsia="zh-CN"/>
        </w:rPr>
      </w:pPr>
      <w:r>
        <w:rPr>
          <w:rFonts w:cs="宋体"/>
          <w:b w:val="0"/>
          <w:bCs/>
          <w:color w:val="auto"/>
          <w:sz w:val="21"/>
          <w:highlight w:val="white"/>
          <w:lang w:eastAsia="zh-CN"/>
        </w:rPr>
        <w:br w:type="page"/>
      </w:r>
      <w:bookmarkStart w:id="112" w:name="_Toc610"/>
      <w:bookmarkStart w:id="113" w:name="_Toc446339244"/>
      <w:bookmarkStart w:id="114" w:name="_Toc10463"/>
      <w:bookmarkStart w:id="115" w:name="_Toc139991736"/>
      <w:bookmarkStart w:id="116" w:name="_Toc141703886"/>
      <w:bookmarkStart w:id="117" w:name="_Toc6327211"/>
      <w:bookmarkStart w:id="118" w:name="_Toc23822"/>
      <w:bookmarkStart w:id="119" w:name="_Toc17244"/>
      <w:bookmarkStart w:id="120" w:name="_Toc7920"/>
      <w:bookmarkStart w:id="121" w:name="_Toc23261"/>
      <w:bookmarkStart w:id="122" w:name="_Toc123112234"/>
      <w:bookmarkStart w:id="123" w:name="_Toc123102453"/>
      <w:bookmarkStart w:id="124" w:name="_Toc1427"/>
      <w:bookmarkStart w:id="125" w:name="_Toc1270"/>
      <w:bookmarkStart w:id="126" w:name="_Toc11081"/>
      <w:bookmarkStart w:id="127" w:name="_Toc79392606"/>
      <w:bookmarkStart w:id="128" w:name="_Toc98560352"/>
      <w:bookmarkStart w:id="129" w:name="_Toc123051452"/>
      <w:bookmarkStart w:id="130" w:name="_Toc4003"/>
      <w:bookmarkStart w:id="131" w:name="_Toc20733"/>
      <w:bookmarkStart w:id="132" w:name="_Toc48649707"/>
      <w:r>
        <w:rPr>
          <w:rFonts w:cs="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9C732C">
      <w:pPr>
        <w:spacing w:line="360" w:lineRule="auto"/>
        <w:ind w:firstLine="540"/>
        <w:rPr>
          <w:rFonts w:ascii="宋体" w:cs="宋体"/>
          <w:bCs/>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一、申购和赎回场所</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cs="宋体"/>
          <w:sz w:val="24"/>
          <w:szCs w:val="24"/>
          <w:highlight w:val="white"/>
          <w:lang w:eastAsia="zh-CN"/>
        </w:rPr>
        <w:t>基金投资者应当在销售机构办理基金销售业务的营业场所或按销售机构提供的其他方式办理基金份额的申购与赎回。</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本基金不同类别份额的申购、赎回的销售机构可能不同，具体详见基金管理人网站公示。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二、申购和赎回的开放日及时间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、开放日及开放时间</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投资人在开放日办理基金份额的申购和赎回，</w:t>
      </w:r>
      <w:r>
        <w:rPr>
          <w:rFonts w:ascii="宋体" w:cs="宋体" w:hint="eastAsia"/>
          <w:bCs/>
          <w:sz w:val="24"/>
          <w:szCs w:val="24"/>
          <w:highlight w:val="white"/>
          <w:lang w:eastAsia="zh-CN"/>
        </w:rPr>
        <w:t>本基金的开放日为上海证券交易所、深圳证券交易所的交易日</w:t>
      </w:r>
      <w:r>
        <w:rPr>
          <w:rFonts w:ascii="宋体" w:cs="宋体" w:hint="eastAsia"/>
          <w:sz w:val="24"/>
          <w:szCs w:val="24"/>
          <w:highlight w:val="white"/>
          <w:lang w:eastAsia="zh-CN"/>
        </w:rPr>
        <w:t>，但基金管理人根据法律法规、中国证监会的要求或本基金合同的规定公告暂停申购、赎回时除外。</w:t>
      </w:r>
      <w:r>
        <w:rPr>
          <w:rFonts w:ascii="宋体" w:cs="宋体" w:hint="eastAsia"/>
          <w:bCs/>
          <w:sz w:val="24"/>
          <w:szCs w:val="24"/>
          <w:highlight w:val="white"/>
          <w:lang w:eastAsia="zh-CN"/>
        </w:rPr>
        <w:t>开放日的具体业务办理时间见招募说明书或相关公告。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基金合同生效后，若出现新的证券</w:t>
      </w:r>
      <w:r>
        <w:rPr>
          <w:rFonts w:ascii="宋体" w:cs="宋体"/>
          <w:bCs/>
          <w:sz w:val="24"/>
          <w:szCs w:val="24"/>
          <w:highlight w:val="white"/>
          <w:lang w:eastAsia="zh-CN"/>
        </w:rPr>
        <w:t>/</w:t>
      </w:r>
      <w:r>
        <w:rPr>
          <w:rFonts w:ascii="宋体" w:cs="宋体" w:hint="eastAsia"/>
          <w:bCs/>
          <w:sz w:val="24"/>
          <w:szCs w:val="24"/>
          <w:highlight w:val="white"/>
          <w:lang w:eastAsia="zh-CN"/>
        </w:rPr>
        <w:t>期货</w:t>
      </w:r>
      <w:r>
        <w:rPr>
          <w:rFonts w:ascii="宋体" w:cs="宋体" w:hint="eastAsia"/>
          <w:sz w:val="24"/>
          <w:szCs w:val="24"/>
          <w:highlight w:val="white"/>
          <w:lang w:eastAsia="zh-CN"/>
        </w:rPr>
        <w:t>交易市场、</w:t>
      </w:r>
      <w:r>
        <w:rPr>
          <w:rFonts w:ascii="宋体" w:cs="宋体" w:hint="eastAsia"/>
          <w:bCs/>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期货交易所</w:t>
      </w:r>
      <w:r>
        <w:rPr>
          <w:rFonts w:asci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、申购、赎回开始日及业务办理时间</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基金管理人可根据实际情况依法决定本基金开始办理申购的具体日期</w:t>
      </w:r>
      <w:r>
        <w:rPr>
          <w:rFonts w:ascii="宋体" w:cs="宋体" w:hint="eastAsia"/>
          <w:sz w:val="24"/>
          <w:szCs w:val="24"/>
          <w:highlight w:val="white"/>
          <w:lang w:eastAsia="zh-CN"/>
        </w:rPr>
        <w:t>，具体业务办理时间在申购开始公告中规定。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基金管理人自基金合同生效之日起不超过</w:t>
      </w:r>
      <w:r>
        <w:rPr>
          <w:rFonts w:ascii="宋体" w:cs="宋体" w:hint="eastAsia"/>
          <w:bCs/>
          <w:sz w:val="24"/>
          <w:szCs w:val="24"/>
          <w:highlight w:val="white"/>
          <w:lang w:eastAsia="zh-CN"/>
        </w:rPr>
        <w:t>三个月</w:t>
      </w:r>
      <w:r>
        <w:rPr>
          <w:rFonts w:ascii="宋体" w:cs="宋体" w:hint="eastAsia"/>
          <w:sz w:val="24"/>
          <w:szCs w:val="24"/>
          <w:highlight w:val="white"/>
          <w:lang w:eastAsia="zh-CN"/>
        </w:rPr>
        <w:t>开始办理赎回，具体业务办理时间在赎回开始公告中规定。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cs="宋体"/>
          <w:bCs/>
          <w:sz w:val="24"/>
          <w:szCs w:val="24"/>
          <w:highlight w:val="white"/>
          <w:lang w:eastAsia="zh-CN"/>
        </w:rPr>
        <w:t>赎回价格为下一开放日基金份额申购、赎回的价格</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三、申购与赎回的原则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、“未知价”原则，即申购、</w:t>
      </w:r>
      <w:r>
        <w:rPr>
          <w:rFonts w:ascii="宋体" w:cs="宋体"/>
          <w:bCs/>
          <w:sz w:val="24"/>
          <w:szCs w:val="24"/>
          <w:highlight w:val="white"/>
          <w:lang w:eastAsia="zh-CN"/>
        </w:rPr>
        <w:t>赎回价格以申请当日收市后计算的</w:t>
      </w:r>
      <w:r>
        <w:rPr>
          <w:rFonts w:ascii="宋体" w:cs="宋体" w:hint="eastAsia"/>
          <w:bCs/>
          <w:sz w:val="24"/>
          <w:szCs w:val="24"/>
          <w:highlight w:val="white"/>
          <w:lang w:eastAsia="zh-CN"/>
        </w:rPr>
        <w:t>对应份额类别的</w:t>
      </w:r>
      <w:r>
        <w:rPr>
          <w:rFonts w:ascii="宋体" w:cs="宋体"/>
          <w:bCs/>
          <w:sz w:val="24"/>
          <w:szCs w:val="24"/>
          <w:highlight w:val="white"/>
          <w:lang w:eastAsia="zh-CN"/>
        </w:rPr>
        <w:t>基金份额净值为基准进行计算</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、“金额申购、份额赎回”原则，即申购以金额申请，赎回以份额申请；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、当日的申购与赎回申请可以在基金管理人规定的时间以内撤销；</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5、办理申购、赎回业务时，应当遵循基金份额持有人利益优先原则</w:t>
      </w:r>
      <w:r>
        <w:rPr>
          <w:rFonts w:ascii="宋体" w:cs="宋体" w:hint="eastAsia"/>
          <w:sz w:val="24"/>
          <w:szCs w:val="24"/>
          <w:highlight w:val="white"/>
          <w:lang w:eastAsia="zh-CN"/>
        </w:rPr>
        <w:t>，确保投资者的合法权益不受损害并得到公平对待</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的情况下，对上述原则进行调整。基金管理人必须在新规则开始实施前依照《信息披露办法》的有关规定在规定媒介上公告。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四、申购与赎回的程序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、申购和赎回的申请方式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投资人必须根据销售机构规定的程序，在开放日的具体业务办理时间内提出申购或赎回的申请。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、申购和赎回的款项支付</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val="zh-CN" w:eastAsia="zh-CN"/>
        </w:rPr>
        <w:t>投资人申购基金份额时，必须全额交付申购款项，投资人交付申购款项，申购</w:t>
      </w:r>
      <w:r>
        <w:rPr>
          <w:rFonts w:ascii="宋体" w:cs="宋体" w:hint="eastAsia"/>
          <w:sz w:val="24"/>
          <w:szCs w:val="24"/>
          <w:highlight w:val="white"/>
          <w:lang w:val="zh-CN" w:eastAsia="zh-CN"/>
        </w:rPr>
        <w:t>成立；基金份额登记机构确认基金份额时，申购生效</w:t>
      </w:r>
      <w:r>
        <w:rPr>
          <w:rFonts w:ascii="宋体" w:cs="宋体" w:hint="eastAsia"/>
          <w:bCs/>
          <w:sz w:val="24"/>
          <w:szCs w:val="24"/>
          <w:highlight w:val="white"/>
          <w:lang w:val="zh-CN" w:eastAsia="zh-CN"/>
        </w:rPr>
        <w:t>。</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基金份额持有人递交赎回申请，赎回成立；</w:t>
      </w:r>
      <w:r>
        <w:rPr>
          <w:rFonts w:ascii="宋体" w:cs="宋体"/>
          <w:bCs/>
          <w:sz w:val="24"/>
          <w:szCs w:val="24"/>
          <w:highlight w:val="white"/>
          <w:lang w:eastAsia="zh-CN"/>
        </w:rPr>
        <w:t>登记机构确认赎回时，赎回生效。投资者赎回申请生效后</w:t>
      </w:r>
      <w:r>
        <w:rPr>
          <w:rFonts w:ascii="宋体" w:cs="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、申购和赎回申请的确认</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基金管理人应以交易时间结束前受理有效申购和赎回申请的当天作为申购或赎回申请日</w:t>
      </w:r>
      <w:r>
        <w:rPr>
          <w:rFonts w:ascii="宋体" w:cs="宋体" w:hint="eastAsia"/>
          <w:bCs/>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w:t>
      </w:r>
      <w:r>
        <w:rPr>
          <w:rFonts w:ascii="宋体" w:cs="宋体" w:hint="eastAsia"/>
          <w:bCs/>
          <w:sz w:val="24"/>
          <w:szCs w:val="24"/>
          <w:highlight w:val="white"/>
          <w:lang w:eastAsia="zh-CN"/>
        </w:rPr>
        <w:t>），</w:t>
      </w:r>
      <w:r>
        <w:rPr>
          <w:rFonts w:ascii="宋体" w:cs="宋体" w:hint="eastAsia"/>
          <w:sz w:val="24"/>
          <w:szCs w:val="24"/>
          <w:highlight w:val="white"/>
          <w:lang w:eastAsia="zh-CN"/>
        </w:rPr>
        <w:t>在正常情况下，本基金登记机构在</w:t>
      </w:r>
      <w:r>
        <w:rPr>
          <w:rFonts w:ascii="宋体" w:cs="宋体"/>
          <w:sz w:val="24"/>
          <w:szCs w:val="24"/>
          <w:highlight w:val="white"/>
          <w:lang w:eastAsia="zh-CN"/>
        </w:rPr>
        <w:t>T+</w:t>
      </w:r>
      <w:r>
        <w:rPr>
          <w:rFonts w:ascii="宋体" w:cs="宋体" w:hint="eastAsia"/>
          <w:sz w:val="24"/>
          <w:szCs w:val="24"/>
          <w:highlight w:val="white"/>
          <w:lang w:eastAsia="zh-CN"/>
        </w:rPr>
        <w:t>1日内对该交易的有效性进行确认。</w:t>
      </w:r>
      <w:r>
        <w:rPr>
          <w:rFonts w:ascii="宋体" w:cs="宋体"/>
          <w:sz w:val="24"/>
          <w:szCs w:val="24"/>
          <w:highlight w:val="white"/>
          <w:lang w:eastAsia="zh-CN"/>
        </w:rPr>
        <w:t>T</w:t>
      </w:r>
      <w:r>
        <w:rPr>
          <w:rFonts w:ascii="宋体" w:cs="宋体" w:hint="eastAsia"/>
          <w:sz w:val="24"/>
          <w:szCs w:val="24"/>
          <w:highlight w:val="white"/>
          <w:lang w:eastAsia="zh-CN"/>
        </w:rPr>
        <w:t>日提交的有效申请，投资人</w:t>
      </w:r>
      <w:r>
        <w:rPr>
          <w:rFonts w:ascii="宋体" w:cs="宋体" w:hint="eastAsia"/>
          <w:bCs/>
          <w:sz w:val="24"/>
          <w:szCs w:val="24"/>
          <w:highlight w:val="white"/>
          <w:lang w:eastAsia="zh-CN"/>
        </w:rPr>
        <w:t>应</w:t>
      </w:r>
      <w:r>
        <w:rPr>
          <w:rFonts w:ascii="宋体" w:cs="宋体"/>
          <w:bCs/>
          <w:sz w:val="24"/>
          <w:szCs w:val="24"/>
          <w:highlight w:val="white"/>
          <w:lang w:eastAsia="zh-CN"/>
        </w:rPr>
        <w:t>及时</w:t>
      </w:r>
      <w:r>
        <w:rPr>
          <w:rFonts w:ascii="宋体" w:cs="宋体" w:hint="eastAsia"/>
          <w:sz w:val="24"/>
          <w:szCs w:val="24"/>
          <w:highlight w:val="white"/>
          <w:lang w:eastAsia="zh-CN"/>
        </w:rPr>
        <w:t>到销售网点柜台或以销售机构规定的其他方式查询申请的确认情况。若申购不成功，则申购款项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退还给投资人</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销售机构对申购、赎回申请的受理并不代表</w:t>
      </w:r>
      <w:r>
        <w:rPr>
          <w:rFonts w:ascii="宋体" w:cs="宋体" w:hint="eastAsia"/>
          <w:bCs/>
          <w:sz w:val="24"/>
          <w:szCs w:val="24"/>
          <w:highlight w:val="white"/>
          <w:lang w:eastAsia="zh-CN"/>
        </w:rPr>
        <w:t>该</w:t>
      </w:r>
      <w:r>
        <w:rPr>
          <w:rFonts w:ascii="宋体" w:cs="宋体" w:hint="eastAsia"/>
          <w:sz w:val="24"/>
          <w:szCs w:val="24"/>
          <w:highlight w:val="white"/>
          <w:lang w:eastAsia="zh-CN"/>
        </w:rPr>
        <w:t>申请一定成功，而仅代表销售机构确实接收到</w:t>
      </w:r>
      <w:r>
        <w:rPr>
          <w:rFonts w:ascii="宋体" w:cs="宋体" w:hint="eastAsia"/>
          <w:bCs/>
          <w:sz w:val="24"/>
          <w:szCs w:val="24"/>
          <w:highlight w:val="white"/>
          <w:lang w:eastAsia="zh-CN"/>
        </w:rPr>
        <w:t>申购、赎回</w:t>
      </w:r>
      <w:r>
        <w:rPr>
          <w:rFonts w:ascii="宋体" w:cs="宋体" w:hint="eastAsia"/>
          <w:sz w:val="24"/>
          <w:szCs w:val="24"/>
          <w:highlight w:val="white"/>
          <w:lang w:eastAsia="zh-CN"/>
        </w:rPr>
        <w:t>申请。申购、赎回的确认以登记机构的确认结果为准。对于申请的确认情况，</w:t>
      </w:r>
      <w:r>
        <w:rPr>
          <w:rFonts w:ascii="宋体" w:cs="宋体" w:hint="eastAsia"/>
          <w:bCs/>
          <w:sz w:val="24"/>
          <w:szCs w:val="24"/>
          <w:highlight w:val="white"/>
          <w:lang w:eastAsia="zh-CN"/>
        </w:rPr>
        <w:t>投资人</w:t>
      </w:r>
      <w:r>
        <w:rPr>
          <w:rFonts w:ascii="宋体" w:cs="宋体" w:hint="eastAsia"/>
          <w:sz w:val="24"/>
          <w:szCs w:val="24"/>
          <w:highlight w:val="white"/>
          <w:lang w:eastAsia="zh-CN"/>
        </w:rPr>
        <w:t>应及时查询</w:t>
      </w:r>
      <w:r>
        <w:rPr>
          <w:rFonts w:ascii="宋体" w:cs="宋体" w:hint="eastAsia"/>
          <w:bCs/>
          <w:sz w:val="24"/>
          <w:szCs w:val="24"/>
          <w:highlight w:val="white"/>
          <w:lang w:eastAsia="zh-CN"/>
        </w:rPr>
        <w:t>并妥善行使合法权利</w:t>
      </w:r>
      <w:r>
        <w:rPr>
          <w:rFonts w:ascii="宋体" w:cs="宋体" w:hint="eastAsia"/>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五、申购和赎回的数量限制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、基金管理人可以规定投资人首次申购和每次申购的最低金额</w:t>
      </w:r>
      <w:r>
        <w:rPr>
          <w:rFonts w:ascii="宋体" w:cs="宋体" w:hint="eastAsia"/>
          <w:bCs/>
          <w:sz w:val="24"/>
          <w:szCs w:val="24"/>
          <w:highlight w:val="white"/>
          <w:lang w:eastAsia="zh-CN"/>
        </w:rPr>
        <w:t>、最高金额</w:t>
      </w:r>
      <w:r>
        <w:rPr>
          <w:rFonts w:ascii="宋体" w:cs="宋体" w:hint="eastAsia"/>
          <w:sz w:val="24"/>
          <w:szCs w:val="24"/>
          <w:highlight w:val="white"/>
          <w:lang w:eastAsia="zh-CN"/>
        </w:rPr>
        <w:t>以及每次赎回的最低份额，具体规定请参见招募说明书或相关公告。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、基金管理人可以规定投资人每个基金交易账户的最低基金份额余额，具体规定请参见招募说明书或相关公告。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、基金管理人可以规定单个投资人累计持有的基金份额上限</w:t>
      </w:r>
      <w:r>
        <w:rPr>
          <w:rFonts w:ascii="宋体" w:cs="宋体" w:hint="eastAsia"/>
          <w:bCs/>
          <w:sz w:val="24"/>
          <w:szCs w:val="24"/>
          <w:highlight w:val="white"/>
          <w:lang w:eastAsia="zh-CN"/>
        </w:rPr>
        <w:t>、单日或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w:t>
      </w:r>
      <w:r>
        <w:rPr>
          <w:rFonts w:ascii="宋体" w:cs="宋体" w:hint="eastAsia"/>
          <w:sz w:val="24"/>
          <w:szCs w:val="24"/>
          <w:highlight w:val="white"/>
          <w:lang w:eastAsia="zh-CN"/>
        </w:rPr>
        <w:t>，具体规定请参见招募说明书或相关公告。</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、基金管理人有权规定本基金的总规模限额，以及单日申购金额上限和净申购比例上限，</w:t>
      </w:r>
      <w:r>
        <w:rPr>
          <w:rFonts w:ascii="宋体" w:cs="宋体"/>
          <w:bCs/>
          <w:sz w:val="24"/>
          <w:szCs w:val="24"/>
          <w:highlight w:val="white"/>
          <w:lang w:eastAsia="zh-CN"/>
        </w:rPr>
        <w:t>具体规定请参见招募说明书</w:t>
      </w:r>
      <w:r>
        <w:rPr>
          <w:rFonts w:ascii="宋体" w:cs="宋体" w:hint="eastAsia"/>
          <w:bCs/>
          <w:sz w:val="24"/>
          <w:szCs w:val="24"/>
          <w:highlight w:val="white"/>
          <w:lang w:eastAsia="zh-CN"/>
        </w:rPr>
        <w:t>或相关公告。</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、基金管理人可</w:t>
      </w:r>
      <w:r>
        <w:rPr>
          <w:rFonts w:ascii="宋体" w:cs="宋体"/>
          <w:sz w:val="24"/>
          <w:szCs w:val="24"/>
          <w:highlight w:val="white"/>
          <w:lang w:eastAsia="zh-CN"/>
        </w:rPr>
        <w:t>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的情况下，调整上述规定申购金额和赎回份额的数量限制</w:t>
      </w:r>
      <w:r>
        <w:rPr>
          <w:rFonts w:ascii="宋体" w:cs="宋体" w:hint="eastAsia"/>
          <w:bCs/>
          <w:sz w:val="24"/>
          <w:szCs w:val="24"/>
          <w:highlight w:val="white"/>
          <w:lang w:eastAsia="zh-CN"/>
        </w:rPr>
        <w:t>，或者新增基金规模控制措施</w:t>
      </w:r>
      <w:r>
        <w:rPr>
          <w:rFonts w:ascii="宋体" w:cs="宋体" w:hint="eastAsia"/>
          <w:sz w:val="24"/>
          <w:szCs w:val="24"/>
          <w:highlight w:val="white"/>
          <w:lang w:eastAsia="zh-CN"/>
        </w:rPr>
        <w:t>。基金管理人必须在调整前依照《信息披露办法》的有关规定在规定媒介上公告。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六、</w:t>
      </w:r>
      <w:bookmarkStart w:id="133" w:name="OLE_LINK27"/>
      <w:bookmarkStart w:id="134" w:name="OLE_LINK26"/>
      <w:r>
        <w:rPr>
          <w:rFonts w:ascii="宋体" w:cs="宋体" w:hint="eastAsia"/>
          <w:sz w:val="24"/>
          <w:szCs w:val="24"/>
          <w:highlight w:val="white"/>
          <w:lang w:eastAsia="zh-CN"/>
        </w:rPr>
        <w:t>申购和赎回的价格、费用及其用途</w:t>
      </w:r>
      <w:bookmarkEnd w:id="133"/>
      <w:bookmarkEnd w:id="134"/>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hint="eastAsia"/>
          <w:bCs/>
          <w:sz w:val="24"/>
          <w:szCs w:val="24"/>
          <w:highlight w:val="white"/>
          <w:lang w:eastAsia="zh-CN"/>
        </w:rPr>
        <w:t>本基金各类基金份额净值的计算，保留到小数点后</w:t>
      </w:r>
      <w:r>
        <w:rPr>
          <w:rFonts w:ascii="宋体" w:cs="宋体"/>
          <w:bCs/>
          <w:sz w:val="24"/>
          <w:szCs w:val="24"/>
          <w:highlight w:val="white"/>
          <w:lang w:eastAsia="zh-CN"/>
        </w:rPr>
        <w:t>4</w:t>
      </w:r>
      <w:r>
        <w:rPr>
          <w:rFonts w:ascii="宋体" w:cs="宋体" w:hint="eastAsia"/>
          <w:bCs/>
          <w:sz w:val="24"/>
          <w:szCs w:val="24"/>
          <w:highlight w:val="white"/>
          <w:lang w:eastAsia="zh-CN"/>
        </w:rPr>
        <w:t>位，小数点后第</w:t>
      </w:r>
      <w:r>
        <w:rPr>
          <w:rFonts w:ascii="宋体" w:cs="宋体"/>
          <w:bCs/>
          <w:sz w:val="24"/>
          <w:szCs w:val="24"/>
          <w:highlight w:val="white"/>
          <w:lang w:eastAsia="zh-CN"/>
        </w:rPr>
        <w:t>5</w:t>
      </w:r>
      <w:r>
        <w:rPr>
          <w:rFonts w:ascii="宋体" w:cs="宋体" w:hint="eastAsia"/>
          <w:bCs/>
          <w:sz w:val="24"/>
          <w:szCs w:val="24"/>
          <w:highlight w:val="white"/>
          <w:lang w:eastAsia="zh-CN"/>
        </w:rPr>
        <w:t>位四舍五入，</w:t>
      </w:r>
      <w:r>
        <w:rPr>
          <w:rFonts w:ascii="宋体" w:cs="宋体" w:hint="eastAsia"/>
          <w:sz w:val="24"/>
          <w:szCs w:val="24"/>
          <w:highlight w:val="white"/>
          <w:lang w:eastAsia="zh-CN"/>
        </w:rPr>
        <w:t>由此产生的收益或损失由基金财产承担</w:t>
      </w:r>
      <w:r>
        <w:rPr>
          <w:rFonts w:ascii="宋体" w:cs="宋体" w:hint="eastAsia"/>
          <w:bCs/>
          <w:sz w:val="24"/>
          <w:szCs w:val="24"/>
          <w:highlight w:val="white"/>
          <w:lang w:eastAsia="zh-CN"/>
        </w:rPr>
        <w:t>。</w:t>
      </w:r>
      <w:r>
        <w:rPr>
          <w:rFonts w:ascii="宋体" w:cs="宋体" w:hint="eastAsia"/>
          <w:sz w:val="24"/>
          <w:szCs w:val="24"/>
          <w:highlight w:val="white"/>
          <w:lang w:eastAsia="zh-CN"/>
        </w:rPr>
        <w:t>遇特殊情况，经履行适当程序，可以适当延迟计算或公告。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、申购份额的计算及余额的处理方式：</w:t>
      </w:r>
      <w:r>
        <w:rPr>
          <w:rFonts w:ascii="宋体" w:cs="宋体"/>
          <w:bCs/>
          <w:sz w:val="24"/>
          <w:szCs w:val="24"/>
          <w:highlight w:val="white"/>
          <w:lang w:eastAsia="zh-CN"/>
        </w:rPr>
        <w:t>本基金申购份额的计算详见《招募说明书》。本基金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的申购费率由基金管理人决定</w:t>
      </w:r>
      <w:r>
        <w:rPr>
          <w:rFonts w:ascii="宋体" w:cs="宋体" w:hint="eastAsia"/>
          <w:sz w:val="24"/>
          <w:szCs w:val="24"/>
          <w:highlight w:val="white"/>
          <w:lang w:eastAsia="zh-CN"/>
        </w:rPr>
        <w:t>，并在招募说明书中列示。</w:t>
      </w:r>
      <w:r>
        <w:rPr>
          <w:rFonts w:ascii="宋体" w:cs="宋体"/>
          <w:bCs/>
          <w:sz w:val="24"/>
          <w:szCs w:val="24"/>
          <w:highlight w:val="white"/>
          <w:lang w:eastAsia="zh-CN"/>
        </w:rPr>
        <w:t>申购的有效份额为净申购金额除以当日</w:t>
      </w:r>
      <w:r>
        <w:rPr>
          <w:rFonts w:ascii="宋体" w:cs="宋体" w:hint="eastAsia"/>
          <w:bCs/>
          <w:sz w:val="24"/>
          <w:szCs w:val="24"/>
          <w:highlight w:val="white"/>
          <w:lang w:eastAsia="zh-CN"/>
        </w:rPr>
        <w:t>该类基金份额</w:t>
      </w:r>
      <w:r>
        <w:rPr>
          <w:rFonts w:ascii="宋体" w:cs="宋体"/>
          <w:bCs/>
          <w:sz w:val="24"/>
          <w:szCs w:val="24"/>
          <w:highlight w:val="white"/>
          <w:lang w:eastAsia="zh-CN"/>
        </w:rPr>
        <w:t>的基金份额净值</w:t>
      </w:r>
      <w:r>
        <w:rPr>
          <w:rFonts w:ascii="宋体" w:cs="宋体" w:hint="eastAsia"/>
          <w:sz w:val="24"/>
          <w:szCs w:val="24"/>
          <w:highlight w:val="white"/>
          <w:lang w:eastAsia="zh-CN"/>
        </w:rPr>
        <w:t>，有效份额单位为份，上述计算结果均按四舍五入方法，保留到小数点后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、赎回金额的计算及处理方式：</w:t>
      </w:r>
      <w:r>
        <w:rPr>
          <w:rFonts w:ascii="宋体" w:cs="宋体"/>
          <w:bCs/>
          <w:sz w:val="24"/>
          <w:szCs w:val="24"/>
          <w:highlight w:val="white"/>
          <w:lang w:eastAsia="zh-CN"/>
        </w:rPr>
        <w:t>本基金赎回金额的计算详见《招募说明书》。</w:t>
      </w:r>
      <w:r>
        <w:rPr>
          <w:rFonts w:ascii="宋体" w:cs="宋体" w:hint="eastAsia"/>
          <w:sz w:val="24"/>
          <w:szCs w:val="24"/>
          <w:highlight w:val="white"/>
          <w:lang w:eastAsia="zh-CN"/>
        </w:rPr>
        <w:t>本基金的赎回费率由基金管理人决定，并在招募说明书中列示。</w:t>
      </w:r>
      <w:r>
        <w:rPr>
          <w:rFonts w:ascii="宋体" w:cs="宋体"/>
          <w:bCs/>
          <w:sz w:val="24"/>
          <w:szCs w:val="24"/>
          <w:highlight w:val="white"/>
          <w:lang w:eastAsia="zh-CN"/>
        </w:rPr>
        <w:t>赎回金额为按实际确认的有效赎回份额乘以当日</w:t>
      </w:r>
      <w:r>
        <w:rPr>
          <w:rFonts w:ascii="宋体" w:cs="宋体" w:hint="eastAsia"/>
          <w:bCs/>
          <w:sz w:val="24"/>
          <w:szCs w:val="24"/>
          <w:highlight w:val="white"/>
          <w:lang w:eastAsia="zh-CN"/>
        </w:rPr>
        <w:t>该类基金份额的</w:t>
      </w:r>
      <w:r>
        <w:rPr>
          <w:rFonts w:ascii="宋体" w:cs="宋体"/>
          <w:bCs/>
          <w:sz w:val="24"/>
          <w:szCs w:val="24"/>
          <w:highlight w:val="white"/>
          <w:lang w:eastAsia="zh-CN"/>
        </w:rPr>
        <w:t>基金份额净值并扣除相应的费用，赎回金额单位为</w:t>
      </w:r>
      <w:r>
        <w:rPr>
          <w:rFonts w:ascii="宋体" w:cs="宋体" w:hint="eastAsia"/>
          <w:bCs/>
          <w:sz w:val="24"/>
          <w:szCs w:val="24"/>
          <w:highlight w:val="white"/>
          <w:lang w:eastAsia="zh-CN"/>
        </w:rPr>
        <w:t>元。</w:t>
      </w:r>
      <w:r>
        <w:rPr>
          <w:rFonts w:ascii="宋体" w:cs="宋体" w:hint="eastAsia"/>
          <w:sz w:val="24"/>
          <w:szCs w:val="24"/>
          <w:highlight w:val="white"/>
          <w:lang w:eastAsia="zh-CN"/>
        </w:rPr>
        <w:t>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hint="eastAsia"/>
          <w:bCs/>
          <w:sz w:val="24"/>
          <w:szCs w:val="24"/>
          <w:highlight w:val="white"/>
          <w:lang w:eastAsia="zh-CN"/>
        </w:rPr>
        <w:t>A类基金份额的</w:t>
      </w:r>
      <w:r>
        <w:rPr>
          <w:rFonts w:ascii="宋体" w:cs="宋体"/>
          <w:bCs/>
          <w:sz w:val="24"/>
          <w:szCs w:val="24"/>
          <w:highlight w:val="white"/>
          <w:lang w:eastAsia="zh-CN"/>
        </w:rPr>
        <w:t>申购费用由投资人承担</w:t>
      </w:r>
      <w:r>
        <w:rPr>
          <w:rFonts w:ascii="宋体" w:cs="宋体" w:hint="eastAsia"/>
          <w:sz w:val="24"/>
          <w:szCs w:val="24"/>
          <w:highlight w:val="white"/>
          <w:lang w:eastAsia="zh-CN"/>
        </w:rPr>
        <w:t>，不列入基金财产。C类基金份额不收取申购费。</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、赎回费用由赎回基金份额的基金份额持有人承担，在基金份额持有人赎回基金份额时收取。</w:t>
      </w:r>
      <w:r>
        <w:rPr>
          <w:rFonts w:ascii="宋体" w:cs="宋体" w:hint="eastAsia"/>
          <w:bCs/>
          <w:sz w:val="24"/>
          <w:szCs w:val="24"/>
          <w:highlight w:val="white"/>
          <w:lang w:eastAsia="zh-CN"/>
        </w:rPr>
        <w:t>赎回费用归入基金财产的比例依照相关法律法规设定，具体见招募说明书的规定，未归入基金财产的部分</w:t>
      </w:r>
      <w:r>
        <w:rPr>
          <w:rFonts w:ascii="宋体" w:cs="宋体" w:hint="eastAsia"/>
          <w:sz w:val="24"/>
          <w:szCs w:val="24"/>
          <w:highlight w:val="white"/>
          <w:lang w:eastAsia="zh-CN"/>
        </w:rPr>
        <w:t>用于支付登记费和其他必要的手续费。</w:t>
      </w:r>
      <w:r>
        <w:rPr>
          <w:rFonts w:ascii="宋体" w:cs="宋体"/>
          <w:bCs/>
          <w:sz w:val="24"/>
          <w:szCs w:val="24"/>
          <w:highlight w:val="white"/>
          <w:lang w:eastAsia="zh-CN"/>
        </w:rPr>
        <w:t>其中</w:t>
      </w:r>
      <w:r>
        <w:rPr>
          <w:rFonts w:ascii="宋体" w:cs="宋体" w:hint="eastAsia"/>
          <w:bCs/>
          <w:sz w:val="24"/>
          <w:szCs w:val="24"/>
          <w:highlight w:val="white"/>
          <w:lang w:eastAsia="zh-CN"/>
        </w:rPr>
        <w:t>，</w:t>
      </w:r>
      <w:r>
        <w:rPr>
          <w:rFonts w:ascii="宋体" w:cs="宋体"/>
          <w:bCs/>
          <w:sz w:val="24"/>
          <w:szCs w:val="24"/>
          <w:highlight w:val="white"/>
          <w:lang w:eastAsia="zh-CN"/>
        </w:rPr>
        <w:t>对持续持有期少于7日的投资者收取不低于1.5%的赎回费</w:t>
      </w:r>
      <w:r>
        <w:rPr>
          <w:rFonts w:ascii="宋体" w:cs="宋体" w:hint="eastAsia"/>
          <w:bCs/>
          <w:sz w:val="24"/>
          <w:szCs w:val="24"/>
          <w:highlight w:val="white"/>
          <w:lang w:eastAsia="zh-CN"/>
        </w:rPr>
        <w:t>，</w:t>
      </w:r>
      <w:r>
        <w:rPr>
          <w:rFonts w:ascii="宋体" w:cs="宋体"/>
          <w:bCs/>
          <w:sz w:val="24"/>
          <w:szCs w:val="24"/>
          <w:highlight w:val="white"/>
          <w:lang w:eastAsia="zh-CN"/>
        </w:rPr>
        <w:t>并全额计入基金财产</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7</w:t>
      </w:r>
      <w:r>
        <w:rPr>
          <w:rFonts w:asci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cs="宋体" w:hint="eastAsia"/>
          <w:sz w:val="24"/>
          <w:szCs w:val="24"/>
          <w:highlight w:val="white"/>
          <w:lang w:eastAsia="zh-CN"/>
        </w:rPr>
        <w:t>在基金促销活动期间，基金管理人可以适当调低基金销售费率，或开展有差别的费率优惠活动</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w:t>
      </w:r>
      <w:r>
        <w:rPr>
          <w:rFonts w:asci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拒绝或暂停申购的情形</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发生下列情况时，</w:t>
      </w:r>
      <w:r>
        <w:rPr>
          <w:rFonts w:ascii="宋体" w:cs="宋体"/>
          <w:bCs/>
          <w:sz w:val="24"/>
          <w:szCs w:val="24"/>
          <w:highlight w:val="white"/>
          <w:lang w:eastAsia="zh-CN"/>
        </w:rPr>
        <w:t>基金管理人可拒绝或暂停接受投资人的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申购申请</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、因不可抗力导致基金无法正常运作</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基金进行</w:t>
      </w:r>
      <w:r>
        <w:rPr>
          <w:rFonts w:ascii="宋体" w:cs="宋体"/>
          <w:bCs/>
          <w:sz w:val="24"/>
          <w:szCs w:val="24"/>
          <w:highlight w:val="white"/>
          <w:lang w:eastAsia="zh-CN"/>
        </w:rPr>
        <w:t>交易</w:t>
      </w:r>
      <w:r>
        <w:rPr>
          <w:rFonts w:ascii="宋体" w:cs="宋体" w:hint="eastAsia"/>
          <w:bCs/>
          <w:sz w:val="24"/>
          <w:szCs w:val="24"/>
          <w:highlight w:val="white"/>
          <w:lang w:eastAsia="zh-CN"/>
        </w:rPr>
        <w:t>的主要</w:t>
      </w:r>
      <w:r>
        <w:rPr>
          <w:rFonts w:ascii="宋体" w:cs="宋体" w:hint="eastAsia"/>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期货交易市场</w:t>
      </w:r>
      <w:r>
        <w:rPr>
          <w:rFonts w:ascii="宋体" w:cs="宋体" w:hint="eastAsia"/>
          <w:sz w:val="24"/>
          <w:szCs w:val="24"/>
          <w:highlight w:val="white"/>
          <w:lang w:eastAsia="zh-CN"/>
        </w:rPr>
        <w:t>交易时间非正常停市。</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、基金管理人认为接受某笔或某些申购申请可能会影响或损害现有基金份额持有人利益时。</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5</w:t>
      </w:r>
      <w:r>
        <w:rPr>
          <w:rFonts w:asci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cs="宋体"/>
          <w:bCs/>
          <w:sz w:val="24"/>
          <w:szCs w:val="24"/>
          <w:highlight w:val="white"/>
          <w:lang w:eastAsia="zh-CN"/>
        </w:rPr>
        <w:t>当一笔新的</w:t>
      </w:r>
      <w:r>
        <w:rPr>
          <w:rFonts w:asci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超过基金管理人规定的当日申购金额或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申购金额上限时。</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8</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9C732C">
      <w:pPr>
        <w:spacing w:line="360" w:lineRule="auto"/>
        <w:ind w:firstLine="480"/>
        <w:rPr>
          <w:rFonts w:ascii="宋体"/>
          <w:sz w:val="24"/>
          <w:lang w:eastAsia="zh-CN"/>
        </w:rPr>
      </w:pPr>
      <w:r>
        <w:rPr>
          <w:rFonts w:ascii="宋体" w:hint="eastAsia"/>
          <w:sz w:val="24"/>
          <w:highlight w:val="white"/>
          <w:lang w:eastAsia="zh-CN"/>
        </w:rPr>
        <w:t>9、目标ETF暂停估值，导致基金管理人无法计算当日基金资产净值。</w:t>
      </w:r>
    </w:p>
    <w:p w:rsidR="009C732C">
      <w:pPr>
        <w:spacing w:line="360" w:lineRule="auto"/>
        <w:ind w:firstLine="480"/>
        <w:rPr>
          <w:rFonts w:ascii="宋体" w:cs="宋体"/>
          <w:bCs/>
          <w:sz w:val="24"/>
          <w:szCs w:val="24"/>
          <w:lang w:eastAsia="zh-CN"/>
        </w:rPr>
      </w:pPr>
      <w:r>
        <w:rPr>
          <w:rFonts w:ascii="宋体" w:hint="eastAsia"/>
          <w:sz w:val="24"/>
          <w:highlight w:val="white"/>
          <w:lang w:eastAsia="zh-CN"/>
        </w:rPr>
        <w:t>10、目标ETF暂停申购、暂停上市或目标ETF停牌，基金管理人认为有必要暂停本基金申购的。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11、法律法规规定或中国证监会认定的其他情形。</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发生上述</w:t>
      </w:r>
      <w:r>
        <w:rPr>
          <w:rFonts w:ascii="宋体" w:cs="宋体" w:hint="eastAsia"/>
          <w:bCs/>
          <w:sz w:val="24"/>
          <w:szCs w:val="24"/>
          <w:highlight w:val="white"/>
          <w:lang w:eastAsia="zh-CN"/>
        </w:rPr>
        <w:t>第</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、7</w:t>
      </w:r>
      <w:r>
        <w:rPr>
          <w:rFonts w:ascii="宋体" w:cs="宋体"/>
          <w:bCs/>
          <w:sz w:val="24"/>
          <w:szCs w:val="24"/>
          <w:highlight w:val="white"/>
          <w:lang w:eastAsia="zh-CN"/>
        </w:rPr>
        <w:t>、8</w:t>
      </w: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项情形</w:t>
      </w:r>
      <w:r>
        <w:rPr>
          <w:rFonts w:ascii="宋体" w:cs="宋体" w:hint="eastAsia"/>
          <w:sz w:val="24"/>
          <w:szCs w:val="24"/>
          <w:highlight w:val="white"/>
          <w:lang w:eastAsia="zh-CN"/>
        </w:rPr>
        <w:t>且基金管理人决定暂停接受</w:t>
      </w:r>
      <w:r>
        <w:rPr>
          <w:rFonts w:ascii="宋体" w:cs="宋体" w:hint="eastAsia"/>
          <w:bCs/>
          <w:sz w:val="24"/>
          <w:szCs w:val="24"/>
          <w:highlight w:val="white"/>
          <w:lang w:eastAsia="zh-CN"/>
        </w:rPr>
        <w:t>投资人</w:t>
      </w:r>
      <w:r>
        <w:rPr>
          <w:rFonts w:ascii="宋体" w:cs="宋体" w:hint="eastAsia"/>
          <w:sz w:val="24"/>
          <w:szCs w:val="24"/>
          <w:highlight w:val="white"/>
          <w:lang w:eastAsia="zh-CN"/>
        </w:rPr>
        <w:t>申购</w:t>
      </w:r>
      <w:r>
        <w:rPr>
          <w:rFonts w:ascii="宋体" w:cs="宋体" w:hint="eastAsia"/>
          <w:bCs/>
          <w:sz w:val="24"/>
          <w:szCs w:val="24"/>
          <w:highlight w:val="white"/>
          <w:lang w:eastAsia="zh-CN"/>
        </w:rPr>
        <w:t>申请</w:t>
      </w:r>
      <w:r>
        <w:rPr>
          <w:rFonts w:asci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将退还给投资人。在暂停申购的情况消除时，基金管理人应及时恢复申购业务的办理。</w:t>
      </w:r>
      <w:bookmarkStart w:id="135" w:name="_Hlt70481650"/>
      <w:bookmarkEnd w:id="135"/>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八、暂停赎回或延缓支付赎回款项的情形</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发生下列情形时，</w:t>
      </w:r>
      <w:r>
        <w:rPr>
          <w:rFonts w:ascii="宋体" w:cs="宋体"/>
          <w:bCs/>
          <w:sz w:val="24"/>
          <w:szCs w:val="24"/>
          <w:highlight w:val="white"/>
          <w:lang w:eastAsia="zh-CN"/>
        </w:rPr>
        <w:t>基金管理人可暂停接受投资人的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赎回申请或延缓支付赎回款项</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、因不可抗力导致基金管理人不能支付赎回款项</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w:t>
      </w:r>
      <w:r>
        <w:rPr>
          <w:rFonts w:ascii="宋体" w:cs="宋体"/>
          <w:bCs/>
          <w:sz w:val="24"/>
          <w:szCs w:val="24"/>
          <w:highlight w:val="white"/>
          <w:lang w:eastAsia="zh-CN"/>
        </w:rPr>
        <w:t>进行交易</w:t>
      </w:r>
      <w:r>
        <w:rPr>
          <w:rFonts w:ascii="宋体" w:cs="宋体" w:hint="eastAsia"/>
          <w:sz w:val="24"/>
          <w:szCs w:val="24"/>
          <w:highlight w:val="white"/>
          <w:lang w:eastAsia="zh-CN"/>
        </w:rPr>
        <w:t>的主要证券</w:t>
      </w:r>
      <w:r>
        <w:rPr>
          <w:rFonts w:ascii="宋体" w:cs="宋体"/>
          <w:bCs/>
          <w:sz w:val="24"/>
          <w:szCs w:val="24"/>
          <w:highlight w:val="white"/>
          <w:lang w:eastAsia="zh-CN"/>
        </w:rPr>
        <w:t>/</w:t>
      </w:r>
      <w:r>
        <w:rPr>
          <w:rFonts w:ascii="宋体" w:cs="宋体" w:hint="eastAsia"/>
          <w:sz w:val="24"/>
          <w:szCs w:val="24"/>
          <w:highlight w:val="white"/>
          <w:lang w:eastAsia="zh-CN"/>
        </w:rPr>
        <w:t>期货</w:t>
      </w:r>
      <w:r>
        <w:rPr>
          <w:rFonts w:ascii="宋体" w:cs="宋体" w:hint="eastAsia"/>
          <w:bCs/>
          <w:sz w:val="24"/>
          <w:szCs w:val="24"/>
          <w:highlight w:val="white"/>
          <w:lang w:eastAsia="zh-CN"/>
        </w:rPr>
        <w:t>交易市场</w:t>
      </w:r>
      <w:r>
        <w:rPr>
          <w:rFonts w:ascii="宋体" w:cs="宋体" w:hint="eastAsia"/>
          <w:sz w:val="24"/>
          <w:szCs w:val="24"/>
          <w:highlight w:val="white"/>
          <w:lang w:eastAsia="zh-CN"/>
        </w:rPr>
        <w:t>交易时间非正常停市</w:t>
      </w:r>
      <w:bookmarkStart w:id="136" w:name="_Hlt152500890"/>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、连续两个或两个以上开放日发生巨额赎回</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、发生继续接受赎回申请将损害现有基金份额持有人利益的情形时，基金管理人可暂停接受基金份额持有人的赎回申请。</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7</w:t>
      </w:r>
      <w:r>
        <w:rPr>
          <w:rFonts w:ascii="宋体" w:cs="宋体"/>
          <w:bCs/>
          <w:sz w:val="24"/>
          <w:szCs w:val="24"/>
          <w:highlight w:val="white"/>
          <w:lang w:eastAsia="zh-CN"/>
        </w:rPr>
        <w:t>、</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、本基金的资产组合中的重要部分发生暂停交易或其他重大事件，继续接受赎回可能会影响或损害基金份额持有人利益时。</w:t>
      </w:r>
      <w:bookmarkEnd w:id="136"/>
    </w:p>
    <w:p w:rsidR="009C732C">
      <w:pPr>
        <w:spacing w:line="360" w:lineRule="auto"/>
        <w:ind w:firstLine="480"/>
        <w:rPr>
          <w:rFonts w:ascii="宋体"/>
          <w:bCs/>
          <w:sz w:val="24"/>
          <w:lang w:eastAsia="zh-CN"/>
        </w:rPr>
      </w:pPr>
      <w:r>
        <w:rPr>
          <w:rFonts w:ascii="宋体" w:hint="eastAsia"/>
          <w:bCs/>
          <w:sz w:val="24"/>
          <w:highlight w:val="white"/>
          <w:lang w:eastAsia="zh-CN"/>
        </w:rPr>
        <w:t>9、目标ETF暂停估值，导致基金管理人无法计算当日基金资产净值。</w:t>
      </w:r>
    </w:p>
    <w:p w:rsidR="009C732C">
      <w:pPr>
        <w:spacing w:line="360" w:lineRule="auto"/>
        <w:ind w:firstLine="480"/>
        <w:rPr>
          <w:rFonts w:ascii="宋体" w:cs="宋体"/>
          <w:sz w:val="24"/>
          <w:szCs w:val="24"/>
          <w:lang w:eastAsia="zh-CN"/>
        </w:rPr>
      </w:pPr>
      <w:r>
        <w:rPr>
          <w:rFonts w:ascii="宋体" w:hint="eastAsia"/>
          <w:bCs/>
          <w:sz w:val="24"/>
          <w:highlight w:val="white"/>
          <w:lang w:eastAsia="zh-CN"/>
        </w:rPr>
        <w:t>10、目标ETF暂停赎回、暂停上市或目标ETF停牌，基金管理人认为有必要暂停本基金赎回的。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1</w:t>
      </w:r>
      <w:r>
        <w:rPr>
          <w:rFonts w:ascii="宋体" w:cs="宋体" w:hint="eastAsia"/>
          <w:sz w:val="24"/>
          <w:szCs w:val="24"/>
          <w:highlight w:val="white"/>
          <w:lang w:eastAsia="zh-CN"/>
        </w:rPr>
        <w:t>、法律法规规定或中国证监会认定的其他情形。</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发生上述情形之一且基金管理人决定暂停赎回或延缓支付赎回款项时，基金管理人应</w:t>
      </w:r>
      <w:r>
        <w:rPr>
          <w:rFonts w:ascii="宋体" w:hint="eastAsia"/>
          <w:bCs/>
          <w:sz w:val="24"/>
          <w:highlight w:val="white"/>
          <w:lang w:eastAsia="zh-CN"/>
        </w:rPr>
        <w:t>按规定</w:t>
      </w:r>
      <w:r>
        <w:rPr>
          <w:rFonts w:ascii="宋体" w:cs="宋体" w:hint="eastAsia"/>
          <w:bCs/>
          <w:sz w:val="24"/>
          <w:szCs w:val="24"/>
          <w:highlight w:val="white"/>
          <w:lang w:eastAsia="zh-CN"/>
        </w:rPr>
        <w:t>报中国证监会备案</w:t>
      </w:r>
      <w:r>
        <w:rPr>
          <w:rFonts w:ascii="宋体" w:cs="宋体" w:hint="eastAsia"/>
          <w:sz w:val="24"/>
          <w:szCs w:val="24"/>
          <w:highlight w:val="white"/>
          <w:lang w:eastAsia="zh-CN"/>
        </w:rPr>
        <w:t>。若出现上述第</w:t>
      </w:r>
      <w:r>
        <w:rPr>
          <w:rFonts w:ascii="宋体" w:cs="宋体"/>
          <w:sz w:val="24"/>
          <w:szCs w:val="24"/>
          <w:highlight w:val="white"/>
          <w:lang w:eastAsia="zh-CN"/>
        </w:rPr>
        <w:t>4</w:t>
      </w:r>
      <w:r>
        <w:rPr>
          <w:rFonts w:asci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九、巨额赎回的情形及处理方式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、巨额赎回的认定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若本基金单个开放日内的基金份额净赎回申请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超过前一开放日的基金总份额的1</w:t>
      </w:r>
      <w:r>
        <w:rPr>
          <w:rFonts w:ascii="宋体" w:cs="宋体"/>
          <w:sz w:val="24"/>
          <w:szCs w:val="24"/>
          <w:highlight w:val="white"/>
          <w:lang w:eastAsia="zh-CN"/>
        </w:rPr>
        <w:t>0%</w:t>
      </w:r>
      <w:r>
        <w:rPr>
          <w:rFonts w:ascii="宋体" w:cs="宋体" w:hint="eastAsia"/>
          <w:sz w:val="24"/>
          <w:szCs w:val="24"/>
          <w:highlight w:val="white"/>
          <w:lang w:eastAsia="zh-CN"/>
        </w:rPr>
        <w:t>，即认为是发生了巨额赎回。</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、巨额赎回的处理方式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当基金出现巨额赎回时，基金管理人可以根据基金当时的资产组合状况决定全额赎回或部分延期赎回。</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）全额赎回：当基金管理人认为有能力支付投资人的全部赎回申请时，按正常赎回程序执行。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若本基金发生巨额赎回且单个基金份额持有人的赎回申请超过上一开放日基金总份额1</w:t>
      </w:r>
      <w:r>
        <w:rPr>
          <w:rFonts w:ascii="宋体" w:cs="宋体"/>
          <w:bCs/>
          <w:sz w:val="24"/>
          <w:szCs w:val="24"/>
          <w:highlight w:val="white"/>
          <w:lang w:eastAsia="zh-CN"/>
        </w:rPr>
        <w:t>0%</w:t>
      </w:r>
      <w:r>
        <w:rPr>
          <w:rFonts w:asci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cs="宋体"/>
          <w:bCs/>
          <w:sz w:val="24"/>
          <w:szCs w:val="24"/>
          <w:highlight w:val="white"/>
          <w:lang w:eastAsia="zh-CN"/>
        </w:rPr>
        <w:t>基金管理人可以根据前</w:t>
      </w:r>
      <w:r>
        <w:rPr>
          <w:rFonts w:ascii="宋体" w:cs="宋体" w:hint="eastAsia"/>
          <w:bCs/>
          <w:sz w:val="24"/>
          <w:szCs w:val="24"/>
          <w:highlight w:val="white"/>
          <w:lang w:eastAsia="zh-CN"/>
        </w:rPr>
        <w:t>款“</w:t>
      </w:r>
      <w:r>
        <w:rPr>
          <w:rFonts w:ascii="宋体" w:cs="宋体"/>
          <w:bCs/>
          <w:sz w:val="24"/>
          <w:szCs w:val="24"/>
          <w:highlight w:val="white"/>
          <w:lang w:eastAsia="zh-CN"/>
        </w:rPr>
        <w:t>（1）全额赎回</w:t>
      </w:r>
      <w:r>
        <w:rPr>
          <w:rFonts w:ascii="宋体" w:cs="宋体" w:hint="eastAsia"/>
          <w:bCs/>
          <w:sz w:val="24"/>
          <w:szCs w:val="24"/>
          <w:highlight w:val="white"/>
          <w:lang w:eastAsia="zh-CN"/>
        </w:rPr>
        <w:t>”</w:t>
      </w:r>
      <w:r>
        <w:rPr>
          <w:rFonts w:ascii="宋体" w:cs="宋体"/>
          <w:bCs/>
          <w:sz w:val="24"/>
          <w:szCs w:val="24"/>
          <w:highlight w:val="white"/>
          <w:lang w:eastAsia="zh-CN"/>
        </w:rPr>
        <w:t>或</w:t>
      </w:r>
      <w:r>
        <w:rPr>
          <w:rFonts w:ascii="宋体" w:cs="宋体" w:hint="eastAsia"/>
          <w:bCs/>
          <w:sz w:val="24"/>
          <w:szCs w:val="24"/>
          <w:highlight w:val="white"/>
          <w:lang w:eastAsia="zh-CN"/>
        </w:rPr>
        <w:t>“</w:t>
      </w:r>
      <w:r>
        <w:rPr>
          <w:rFonts w:ascii="宋体" w:cs="宋体"/>
          <w:bCs/>
          <w:sz w:val="24"/>
          <w:szCs w:val="24"/>
          <w:highlight w:val="white"/>
          <w:lang w:eastAsia="zh-CN"/>
        </w:rPr>
        <w:t>（2）部分延期赎回</w:t>
      </w:r>
      <w:r>
        <w:rPr>
          <w:rFonts w:ascii="宋体" w:cs="宋体" w:hint="eastAsia"/>
          <w:bCs/>
          <w:sz w:val="24"/>
          <w:szCs w:val="24"/>
          <w:highlight w:val="white"/>
          <w:lang w:eastAsia="zh-CN"/>
        </w:rPr>
        <w:t>”</w:t>
      </w:r>
      <w:r>
        <w:rPr>
          <w:rFonts w:ascii="宋体" w:cs="宋体"/>
          <w:bCs/>
          <w:sz w:val="24"/>
          <w:szCs w:val="24"/>
          <w:highlight w:val="white"/>
          <w:lang w:eastAsia="zh-CN"/>
        </w:rPr>
        <w:t>约定</w:t>
      </w:r>
      <w:r>
        <w:rPr>
          <w:rFonts w:ascii="宋体" w:cs="宋体" w:hint="eastAsia"/>
          <w:bCs/>
          <w:sz w:val="24"/>
          <w:szCs w:val="24"/>
          <w:highlight w:val="white"/>
          <w:lang w:eastAsia="zh-CN"/>
        </w:rPr>
        <w:t>的</w:t>
      </w:r>
      <w:r>
        <w:rPr>
          <w:rFonts w:ascii="宋体" w:cs="宋体"/>
          <w:bCs/>
          <w:sz w:val="24"/>
          <w:szCs w:val="24"/>
          <w:highlight w:val="white"/>
          <w:lang w:eastAsia="zh-CN"/>
        </w:rPr>
        <w:t>方式与其他</w:t>
      </w:r>
      <w:r>
        <w:rPr>
          <w:rFonts w:ascii="宋体" w:cs="宋体" w:hint="eastAsia"/>
          <w:bCs/>
          <w:sz w:val="24"/>
          <w:szCs w:val="24"/>
          <w:highlight w:val="white"/>
          <w:lang w:eastAsia="zh-CN"/>
        </w:rPr>
        <w:t>账户</w:t>
      </w:r>
      <w:r>
        <w:rPr>
          <w:rFonts w:ascii="宋体" w:cs="宋体"/>
          <w:bCs/>
          <w:sz w:val="24"/>
          <w:szCs w:val="24"/>
          <w:highlight w:val="white"/>
          <w:lang w:eastAsia="zh-CN"/>
        </w:rPr>
        <w:t>的赎回申请一并办理</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）暂停赎回：连续</w:t>
      </w:r>
      <w:r>
        <w:rPr>
          <w:rFonts w:ascii="宋体" w:cs="宋体"/>
          <w:sz w:val="24"/>
          <w:szCs w:val="24"/>
          <w:highlight w:val="white"/>
          <w:lang w:eastAsia="zh-CN"/>
        </w:rPr>
        <w:t>2</w:t>
      </w:r>
      <w:r>
        <w:rPr>
          <w:rFonts w:ascii="宋体" w:cs="宋体" w:hint="eastAsia"/>
          <w:sz w:val="24"/>
          <w:szCs w:val="24"/>
          <w:highlight w:val="white"/>
          <w:lang w:eastAsia="zh-CN"/>
        </w:rPr>
        <w:t>个开放日以上</w:t>
      </w:r>
      <w:r>
        <w:rPr>
          <w:rFonts w:ascii="宋体" w:cs="宋体" w:hint="eastAsia"/>
          <w:bCs/>
          <w:sz w:val="24"/>
          <w:szCs w:val="24"/>
          <w:highlight w:val="white"/>
          <w:lang w:eastAsia="zh-CN"/>
        </w:rPr>
        <w:t>（</w:t>
      </w:r>
      <w:r>
        <w:rPr>
          <w:rFonts w:ascii="宋体" w:cs="宋体" w:hint="eastAsia"/>
          <w:sz w:val="24"/>
          <w:szCs w:val="24"/>
          <w:highlight w:val="white"/>
          <w:lang w:eastAsia="zh-CN"/>
        </w:rPr>
        <w:t>含本数</w:t>
      </w:r>
      <w:r>
        <w:rPr>
          <w:rFonts w:ascii="宋体" w:cs="宋体" w:hint="eastAsia"/>
          <w:bCs/>
          <w:sz w:val="24"/>
          <w:szCs w:val="24"/>
          <w:highlight w:val="white"/>
          <w:lang w:eastAsia="zh-CN"/>
        </w:rPr>
        <w:t>）</w:t>
      </w:r>
      <w:r>
        <w:rPr>
          <w:rFonts w:ascii="宋体" w:cs="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cs="宋体"/>
          <w:sz w:val="24"/>
          <w:szCs w:val="24"/>
          <w:highlight w:val="white"/>
          <w:lang w:eastAsia="zh-CN"/>
        </w:rPr>
        <w:t>20</w:t>
      </w:r>
      <w:r>
        <w:rPr>
          <w:rFonts w:ascii="宋体" w:cs="宋体" w:hint="eastAsia"/>
          <w:sz w:val="24"/>
          <w:szCs w:val="24"/>
          <w:highlight w:val="white"/>
          <w:lang w:eastAsia="zh-CN"/>
        </w:rPr>
        <w:t>个工作日，并应当在规定媒介上进行公告。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、巨额赎回的公告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当发生上述巨额赎回并延期办理时，基金管理人应当通过邮寄、传真或者招募说明书规定的其他方式在</w:t>
      </w:r>
      <w:r>
        <w:rPr>
          <w:rFonts w:ascii="宋体" w:cs="宋体"/>
          <w:sz w:val="24"/>
          <w:szCs w:val="24"/>
          <w:highlight w:val="white"/>
          <w:lang w:eastAsia="zh-CN"/>
        </w:rPr>
        <w:t>3</w:t>
      </w:r>
      <w:r>
        <w:rPr>
          <w:rFonts w:ascii="宋体" w:cs="宋体" w:hint="eastAsia"/>
          <w:sz w:val="24"/>
          <w:szCs w:val="24"/>
          <w:highlight w:val="white"/>
          <w:lang w:eastAsia="zh-CN"/>
        </w:rPr>
        <w:t>个交易日内通知基金份额持有人，说明有关处理方法，并在</w:t>
      </w:r>
      <w:r>
        <w:rPr>
          <w:rFonts w:ascii="宋体" w:cs="宋体"/>
          <w:sz w:val="24"/>
          <w:szCs w:val="24"/>
          <w:highlight w:val="white"/>
          <w:lang w:eastAsia="zh-CN"/>
        </w:rPr>
        <w:t>2</w:t>
      </w:r>
      <w:r>
        <w:rPr>
          <w:rFonts w:ascii="宋体" w:cs="宋体" w:hint="eastAsia"/>
          <w:sz w:val="24"/>
          <w:szCs w:val="24"/>
          <w:highlight w:val="white"/>
          <w:lang w:eastAsia="zh-CN"/>
        </w:rPr>
        <w:t>日内在规定媒介上刊登公告。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十、暂停申购或赎回的公告和重新开放申购或赎回的公告</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、发生上述暂停申购或赎回情况的，基金管理人应在规定期限内在规定媒介上刊登暂停公告。</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cs="宋体" w:hint="eastAsia"/>
          <w:sz w:val="24"/>
          <w:szCs w:val="24"/>
          <w:highlight w:val="white"/>
          <w:lang w:eastAsia="zh-CN"/>
        </w:rPr>
        <w:t>暂停公告中</w:t>
      </w:r>
      <w:r>
        <w:rPr>
          <w:rFonts w:ascii="宋体" w:cs="宋体" w:hint="eastAsia"/>
          <w:bCs/>
          <w:sz w:val="24"/>
          <w:szCs w:val="24"/>
          <w:highlight w:val="white"/>
          <w:lang w:eastAsia="zh-CN"/>
        </w:rPr>
        <w:t>明确重新开放申购或赎回的时间，届时不再另行发布重新开放的公告</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十一、</w:t>
      </w:r>
      <w:r>
        <w:rPr>
          <w:rFonts w:ascii="宋体" w:cs="宋体" w:hint="eastAsia"/>
          <w:sz w:val="24"/>
          <w:szCs w:val="24"/>
          <w:highlight w:val="white"/>
          <w:lang w:eastAsia="zh-CN"/>
        </w:rPr>
        <w:t>基金转换</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十二、基金份额的转让</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十三、基金的非交易过户</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cs="宋体" w:hint="eastAsia"/>
          <w:bCs/>
          <w:sz w:val="24"/>
          <w:szCs w:val="24"/>
          <w:highlight w:val="white"/>
          <w:lang w:eastAsia="zh-CN"/>
        </w:rPr>
        <w:t>。</w:t>
      </w:r>
      <w:r>
        <w:rPr>
          <w:rFonts w:ascii="宋体" w:cs="宋体" w:hint="eastAsia"/>
          <w:sz w:val="24"/>
          <w:szCs w:val="24"/>
          <w:highlight w:val="white"/>
          <w:lang w:eastAsia="zh-CN"/>
        </w:rPr>
        <w:t>无论在上述何种情况下，接受划转的主体必须是依法可以持有本基金基金份额的投资人。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四</w:t>
      </w:r>
      <w:r>
        <w:rPr>
          <w:rFonts w:ascii="宋体" w:cs="宋体" w:hint="eastAsia"/>
          <w:sz w:val="24"/>
          <w:szCs w:val="24"/>
          <w:highlight w:val="white"/>
          <w:lang w:eastAsia="zh-CN"/>
        </w:rPr>
        <w:t>、基金的转托管、</w:t>
      </w:r>
      <w:r>
        <w:rPr>
          <w:rFonts w:ascii="宋体" w:cs="宋体"/>
          <w:sz w:val="24"/>
          <w:szCs w:val="24"/>
          <w:highlight w:val="white"/>
          <w:lang w:eastAsia="zh-CN"/>
        </w:rPr>
        <w:t>质押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基金份额持有人可办理已持有基金份额在不同销售机构之间的转托管，基金销售机构可以按照规定的标准收取转托管费。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在条件许可的情况下，基金登记机构可依据相关法律法规及其业务规则，办理基金份额质押业务，并可收取一定的手续费。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五</w:t>
      </w:r>
      <w:r>
        <w:rPr>
          <w:rFonts w:ascii="宋体" w:cs="宋体" w:hint="eastAsia"/>
          <w:sz w:val="24"/>
          <w:szCs w:val="24"/>
          <w:highlight w:val="white"/>
          <w:lang w:eastAsia="zh-CN"/>
        </w:rPr>
        <w:t>、定期定额投资计划</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六</w:t>
      </w:r>
      <w:r>
        <w:rPr>
          <w:rFonts w:ascii="宋体" w:cs="宋体" w:hint="eastAsia"/>
          <w:sz w:val="24"/>
          <w:szCs w:val="24"/>
          <w:highlight w:val="white"/>
          <w:lang w:eastAsia="zh-CN"/>
        </w:rPr>
        <w:t>、基金的冻结</w:t>
      </w:r>
      <w:r>
        <w:rPr>
          <w:rFonts w:ascii="宋体" w:cs="宋体" w:hint="eastAsia"/>
          <w:bCs/>
          <w:sz w:val="24"/>
          <w:szCs w:val="24"/>
          <w:highlight w:val="white"/>
          <w:lang w:eastAsia="zh-CN"/>
        </w:rPr>
        <w:t>和</w:t>
      </w:r>
      <w:r>
        <w:rPr>
          <w:rFonts w:ascii="宋体" w:cs="宋体" w:hint="eastAsia"/>
          <w:sz w:val="24"/>
          <w:szCs w:val="24"/>
          <w:highlight w:val="white"/>
          <w:lang w:eastAsia="zh-CN"/>
        </w:rPr>
        <w:t>解冻</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七</w:t>
      </w:r>
      <w:r>
        <w:rPr>
          <w:rFonts w:ascii="宋体" w:cs="宋体" w:hint="eastAsia"/>
          <w:bCs/>
          <w:sz w:val="24"/>
          <w:szCs w:val="24"/>
          <w:highlight w:val="white"/>
          <w:lang w:eastAsia="zh-CN"/>
        </w:rPr>
        <w:t>、基金份额折算</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八</w:t>
      </w:r>
      <w:r>
        <w:rPr>
          <w:rFonts w:asci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十九</w:t>
      </w:r>
      <w:r>
        <w:rPr>
          <w:rFonts w:ascii="宋体" w:cs="宋体" w:hint="eastAsia"/>
          <w:sz w:val="24"/>
          <w:szCs w:val="24"/>
          <w:highlight w:val="white"/>
          <w:lang w:eastAsia="zh-CN"/>
        </w:rPr>
        <w:t>、实施侧袋机制期间本基金的申购与赎回</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本基金实施侧袋机制的，本基金的申购和赎回安排详见招募说明书或相关公告。</w:t>
      </w:r>
    </w:p>
    <w:p w:rsidR="009C732C">
      <w:pPr>
        <w:pStyle w:val="11"/>
        <w:spacing w:before="0" w:after="0"/>
        <w:jc w:val="center"/>
        <w:rPr>
          <w:rFonts w:cs="宋体"/>
          <w:color w:val="auto"/>
          <w:sz w:val="30"/>
          <w:lang w:eastAsia="zh-CN"/>
        </w:rPr>
      </w:pPr>
      <w:r>
        <w:rPr>
          <w:rFonts w:cs="宋体"/>
          <w:highlight w:val="white"/>
          <w:lang w:eastAsia="zh-CN"/>
        </w:rPr>
        <w:br w:type="page"/>
      </w:r>
      <w:bookmarkStart w:id="137" w:name="_Toc123102454"/>
      <w:bookmarkStart w:id="138" w:name="_Toc98560353"/>
      <w:bookmarkStart w:id="139" w:name="_Toc139991737"/>
      <w:bookmarkStart w:id="140" w:name="_Toc6327212"/>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r>
        <w:rPr>
          <w:rFonts w:cs="宋体" w:hint="eastAsia"/>
          <w:color w:val="auto"/>
          <w:sz w:val="30"/>
          <w:highlight w:val="white"/>
          <w:lang w:eastAsia="zh-CN"/>
        </w:rPr>
        <w:t>第七部分 基金合同当事人及权利义务</w:t>
      </w:r>
      <w:bookmarkStart w:id="156" w:name="_Hlt55355235"/>
      <w:bookmarkStart w:id="157" w:name="_Toc523711668"/>
      <w:bookmarkStart w:id="158" w:name="_Toc57530239"/>
      <w:bookmarkStart w:id="159" w:name="_Toc15118234"/>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9C732C">
      <w:pPr>
        <w:spacing w:line="360" w:lineRule="auto"/>
        <w:ind w:firstLine="480"/>
        <w:rPr>
          <w:rFonts w:ascii="宋体" w:cs="宋体"/>
          <w:sz w:val="24"/>
          <w:szCs w:val="24"/>
          <w:lang w:eastAsia="zh-CN"/>
        </w:rPr>
      </w:pPr>
    </w:p>
    <w:p w:rsidR="009C732C">
      <w:pPr>
        <w:pStyle w:val="ListParagraph"/>
        <w:numPr>
          <w:ilvl w:val="0"/>
          <w:numId w:val="1"/>
        </w:numPr>
        <w:spacing w:line="360" w:lineRule="auto"/>
        <w:rPr>
          <w:rFonts w:ascii="宋体" w:cs="宋体"/>
          <w:sz w:val="24"/>
          <w:szCs w:val="24"/>
        </w:rPr>
      </w:pPr>
      <w:r>
        <w:rPr>
          <w:rFonts w:ascii="宋体" w:cs="宋体" w:hint="eastAsia"/>
          <w:sz w:val="24"/>
          <w:szCs w:val="24"/>
          <w:highlight w:val="white"/>
        </w:rPr>
        <w:t>基金</w:t>
      </w:r>
      <w:bookmarkEnd w:id="157"/>
      <w:r>
        <w:rPr>
          <w:rFonts w:ascii="宋体" w:cs="宋体" w:hint="eastAsia"/>
          <w:sz w:val="24"/>
          <w:szCs w:val="24"/>
          <w:highlight w:val="white"/>
        </w:rPr>
        <w:t>管理人</w:t>
      </w:r>
      <w:bookmarkEnd w:id="158"/>
      <w:bookmarkEnd w:id="159"/>
      <w:bookmarkEnd w:id="160"/>
    </w:p>
    <w:p w:rsidR="009C732C">
      <w:pPr>
        <w:spacing w:line="360" w:lineRule="auto"/>
        <w:ind w:left="480"/>
        <w:rPr>
          <w:rFonts w:ascii="宋体" w:cs="宋体"/>
          <w:sz w:val="24"/>
          <w:szCs w:val="24"/>
        </w:rPr>
      </w:pPr>
      <w:bookmarkStart w:id="161" w:name="_Toc15118235"/>
      <w:r>
        <w:rPr>
          <w:rFonts w:ascii="宋体" w:cs="宋体"/>
          <w:bCs/>
          <w:sz w:val="24"/>
          <w:szCs w:val="24"/>
          <w:highlight w:val="white"/>
        </w:rPr>
        <w:t>（一）基金管理人简况</w:t>
      </w:r>
      <w:bookmarkEnd w:id="161"/>
    </w:p>
    <w:p w:rsidR="009C732C">
      <w:pPr>
        <w:spacing w:line="360" w:lineRule="auto"/>
        <w:ind w:firstLine="480"/>
        <w:rPr>
          <w:rFonts w:ascii="宋体" w:cs="宋体"/>
          <w:bCs/>
          <w:sz w:val="24"/>
          <w:szCs w:val="24"/>
          <w:lang w:eastAsia="zh-CN"/>
        </w:rPr>
      </w:pPr>
      <w:bookmarkStart w:id="162" w:name="_Toc15118236"/>
      <w:bookmarkStart w:id="163" w:name="_Toc15118237"/>
      <w:r>
        <w:rPr>
          <w:rFonts w:ascii="宋体" w:cs="宋体" w:hint="eastAsia"/>
          <w:bCs/>
          <w:sz w:val="24"/>
          <w:szCs w:val="24"/>
          <w:highlight w:val="white"/>
          <w:lang w:eastAsia="zh-CN"/>
        </w:rPr>
        <w:t>名称：易方达基金管理有限公司</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住所：</w:t>
      </w:r>
      <w:r>
        <w:rPr>
          <w:rFonts w:ascii="宋体" w:cs="宋体"/>
          <w:sz w:val="24"/>
          <w:szCs w:val="24"/>
          <w:highlight w:val="white"/>
          <w:lang w:eastAsia="zh-CN"/>
        </w:rPr>
        <w:t>广东省珠海市横琴新区荣粤道188号6层</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法定代表人：刘晓艳</w:t>
      </w:r>
      <w:r>
        <w:rPr>
          <w:rFonts w:ascii="宋体" w:cs="宋体"/>
          <w:bCs/>
          <w:sz w:val="24"/>
          <w:szCs w:val="24"/>
          <w:highlight w:val="white"/>
          <w:lang w:eastAsia="zh-CN"/>
        </w:rPr>
        <w:t xml:space="preserve"> </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设立日期：</w:t>
      </w:r>
      <w:r>
        <w:rPr>
          <w:rFonts w:ascii="宋体" w:cs="宋体"/>
          <w:bCs/>
          <w:sz w:val="24"/>
          <w:szCs w:val="24"/>
          <w:highlight w:val="white"/>
          <w:lang w:eastAsia="zh-CN"/>
        </w:rPr>
        <w:t>2001</w:t>
      </w:r>
      <w:r>
        <w:rPr>
          <w:rFonts w:ascii="宋体" w:cs="宋体" w:hint="eastAsia"/>
          <w:bCs/>
          <w:sz w:val="24"/>
          <w:szCs w:val="24"/>
          <w:highlight w:val="white"/>
          <w:lang w:eastAsia="zh-CN"/>
        </w:rPr>
        <w:t>年</w:t>
      </w:r>
      <w:r>
        <w:rPr>
          <w:rFonts w:ascii="宋体" w:cs="宋体"/>
          <w:bCs/>
          <w:sz w:val="24"/>
          <w:szCs w:val="24"/>
          <w:highlight w:val="white"/>
          <w:lang w:eastAsia="zh-CN"/>
        </w:rPr>
        <w:t>4</w:t>
      </w:r>
      <w:r>
        <w:rPr>
          <w:rFonts w:ascii="宋体" w:cs="宋体" w:hint="eastAsia"/>
          <w:bCs/>
          <w:sz w:val="24"/>
          <w:szCs w:val="24"/>
          <w:highlight w:val="white"/>
          <w:lang w:eastAsia="zh-CN"/>
        </w:rPr>
        <w:t>月</w:t>
      </w:r>
      <w:r>
        <w:rPr>
          <w:rFonts w:ascii="宋体" w:cs="宋体"/>
          <w:bCs/>
          <w:sz w:val="24"/>
          <w:szCs w:val="24"/>
          <w:highlight w:val="white"/>
          <w:lang w:eastAsia="zh-CN"/>
        </w:rPr>
        <w:t>17</w:t>
      </w:r>
      <w:r>
        <w:rPr>
          <w:rFonts w:ascii="宋体" w:cs="宋体" w:hint="eastAsia"/>
          <w:bCs/>
          <w:sz w:val="24"/>
          <w:szCs w:val="24"/>
          <w:highlight w:val="white"/>
          <w:lang w:eastAsia="zh-CN"/>
        </w:rPr>
        <w:t>日</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批准设立机关及批准设立文号：中国</w:t>
      </w:r>
      <w:r>
        <w:rPr>
          <w:rFonts w:ascii="宋体" w:cs="宋体"/>
          <w:bCs/>
          <w:sz w:val="24"/>
          <w:szCs w:val="24"/>
          <w:highlight w:val="white"/>
          <w:lang w:eastAsia="zh-CN"/>
        </w:rPr>
        <w:t>证券</w:t>
      </w:r>
      <w:r>
        <w:rPr>
          <w:rFonts w:ascii="宋体" w:cs="宋体" w:hint="eastAsia"/>
          <w:bCs/>
          <w:sz w:val="24"/>
          <w:szCs w:val="24"/>
          <w:highlight w:val="white"/>
          <w:lang w:eastAsia="zh-CN"/>
        </w:rPr>
        <w:t>监督管理</w:t>
      </w:r>
      <w:r>
        <w:rPr>
          <w:rFonts w:ascii="宋体" w:cs="宋体"/>
          <w:bCs/>
          <w:sz w:val="24"/>
          <w:szCs w:val="24"/>
          <w:highlight w:val="white"/>
          <w:lang w:eastAsia="zh-CN"/>
        </w:rPr>
        <w:t>委员会</w:t>
      </w:r>
      <w:r>
        <w:rPr>
          <w:rFonts w:ascii="宋体" w:cs="宋体" w:hint="eastAsia"/>
          <w:bCs/>
          <w:sz w:val="24"/>
          <w:szCs w:val="24"/>
          <w:highlight w:val="white"/>
          <w:lang w:eastAsia="zh-CN"/>
        </w:rPr>
        <w:t>，证监基金字</w:t>
      </w:r>
      <w:r>
        <w:rPr>
          <w:rFonts w:ascii="宋体" w:cs="宋体"/>
          <w:bCs/>
          <w:sz w:val="24"/>
          <w:szCs w:val="24"/>
          <w:highlight w:val="white"/>
          <w:lang w:eastAsia="zh-CN"/>
        </w:rPr>
        <w:t>[2001]4</w:t>
      </w:r>
      <w:r>
        <w:rPr>
          <w:rFonts w:ascii="宋体" w:cs="宋体" w:hint="eastAsia"/>
          <w:bCs/>
          <w:sz w:val="24"/>
          <w:szCs w:val="24"/>
          <w:highlight w:val="white"/>
          <w:lang w:eastAsia="zh-CN"/>
        </w:rPr>
        <w:t>号</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组织形式：有限责任公司</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注册资本：13,244.2万元人民币</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存续期限：持续经营</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联系电话：</w:t>
      </w:r>
      <w:r>
        <w:rPr>
          <w:rFonts w:ascii="宋体" w:cs="宋体"/>
          <w:bCs/>
          <w:sz w:val="24"/>
          <w:szCs w:val="24"/>
          <w:highlight w:val="white"/>
          <w:lang w:eastAsia="zh-CN"/>
        </w:rPr>
        <w:t>4008818088</w:t>
      </w:r>
      <w:bookmarkEnd w:id="162"/>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基金管理人的权利与义务</w:t>
      </w:r>
      <w:bookmarkEnd w:id="163"/>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、根据《基金法》、《运作办法》及其他有关规定，基金管理人的权利包括但不限于：</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）依法募集资金；</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）自《基金合同》生效之日起，根据法律法规和《基金合同》独立运用并管理基金财产；</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）依照《基金合同》收取基金管理费以及法律法规规定或中国证监会批准的其他费用；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）销售基金份额；</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bookmarkStart w:id="164" w:name="_Hlt88896155"/>
      <w:r>
        <w:rPr>
          <w:rFonts w:ascii="宋体" w:cs="宋体" w:hint="eastAsia"/>
          <w:sz w:val="24"/>
          <w:szCs w:val="24"/>
          <w:highlight w:val="white"/>
          <w:lang w:eastAsia="zh-CN"/>
        </w:rPr>
        <w:t>按照规定召集</w:t>
      </w:r>
      <w:bookmarkEnd w:id="164"/>
      <w:r>
        <w:rPr>
          <w:rFonts w:ascii="宋体" w:cs="宋体" w:hint="eastAsia"/>
          <w:sz w:val="24"/>
          <w:szCs w:val="24"/>
          <w:highlight w:val="white"/>
          <w:lang w:eastAsia="zh-CN"/>
        </w:rPr>
        <w:t>基金份额持有人大会；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7）在基金托管人更换时，提名新的基金托管人；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r>
        <w:rPr>
          <w:rFonts w:ascii="宋体" w:cs="宋体"/>
          <w:sz w:val="24"/>
          <w:szCs w:val="24"/>
          <w:highlight w:val="white"/>
          <w:lang w:eastAsia="zh-CN"/>
        </w:rPr>
        <w:tab/>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w:t>
      </w:r>
      <w:r>
        <w:rPr>
          <w:rFonts w:ascii="宋体" w:cs="宋体"/>
          <w:bCs/>
          <w:sz w:val="24"/>
          <w:szCs w:val="24"/>
          <w:highlight w:val="white"/>
          <w:lang w:eastAsia="zh-CN"/>
        </w:rPr>
        <w:t>、</w:t>
      </w:r>
      <w:r>
        <w:rPr>
          <w:rFonts w:ascii="宋体" w:cs="宋体"/>
          <w:sz w:val="24"/>
          <w:szCs w:val="24"/>
          <w:highlight w:val="white"/>
          <w:lang w:eastAsia="zh-CN"/>
        </w:rPr>
        <w:t>赎回</w:t>
      </w:r>
      <w:r>
        <w:rPr>
          <w:rFonts w:ascii="宋体" w:cs="宋体"/>
          <w:bCs/>
          <w:sz w:val="24"/>
          <w:szCs w:val="24"/>
          <w:highlight w:val="white"/>
          <w:lang w:eastAsia="zh-CN"/>
        </w:rPr>
        <w:t>及转换</w:t>
      </w:r>
      <w:r>
        <w:rPr>
          <w:rFonts w:ascii="宋体" w:cs="宋体"/>
          <w:sz w:val="24"/>
          <w:szCs w:val="24"/>
          <w:highlight w:val="white"/>
          <w:lang w:eastAsia="zh-CN"/>
        </w:rPr>
        <w:t>申请；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3）在法律法规允许的前提下，为基金的利益依法为基金进行融资、融券及转融通证券出借业务；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）以基金管理人的名义，代表基金份额持有人的利益行使诉讼权利或者实施其他法律行为；</w:t>
      </w:r>
      <w:r>
        <w:rPr>
          <w:rFonts w:ascii="宋体" w:cs="宋体"/>
          <w:sz w:val="24"/>
          <w:szCs w:val="24"/>
          <w:highlight w:val="white"/>
          <w:lang w:eastAsia="zh-CN"/>
        </w:rPr>
        <w:tab/>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r>
        <w:rPr>
          <w:rFonts w:ascii="宋体" w:cs="宋体"/>
          <w:sz w:val="24"/>
          <w:szCs w:val="24"/>
          <w:highlight w:val="white"/>
          <w:lang w:eastAsia="zh-CN"/>
        </w:rPr>
        <w:tab/>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w:t>
      </w:r>
      <w:r>
        <w:rPr>
          <w:rFonts w:ascii="宋体" w:cs="宋体"/>
          <w:bCs/>
          <w:sz w:val="24"/>
          <w:szCs w:val="24"/>
          <w:highlight w:val="white"/>
          <w:lang w:eastAsia="zh-CN"/>
        </w:rPr>
        <w:t>、转托管和收益分配等</w:t>
      </w:r>
      <w:r>
        <w:rPr>
          <w:rFonts w:ascii="宋体" w:cs="宋体"/>
          <w:sz w:val="24"/>
          <w:szCs w:val="24"/>
          <w:highlight w:val="white"/>
          <w:lang w:eastAsia="zh-CN"/>
        </w:rPr>
        <w:t>的业务规则；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9C732C">
      <w:pPr>
        <w:spacing w:line="360" w:lineRule="auto"/>
        <w:ind w:firstLine="480"/>
        <w:rPr>
          <w:rFonts w:ascii="宋体" w:cs="宋体"/>
          <w:sz w:val="24"/>
          <w:szCs w:val="24"/>
          <w:lang w:eastAsia="zh-CN"/>
        </w:rPr>
      </w:pPr>
      <w:bookmarkStart w:id="165" w:name="_Toc523711669"/>
      <w:r>
        <w:rPr>
          <w:rFonts w:ascii="宋体" w:cs="宋体"/>
          <w:sz w:val="24"/>
          <w:szCs w:val="24"/>
          <w:highlight w:val="white"/>
          <w:lang w:eastAsia="zh-CN"/>
        </w:rPr>
        <w:t>（1）依法募集资金，办理或者委托经中国证监会认定的其他机构办理基金份额的发售、申购、赎回和登记事宜；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）依法接受基金托管人的监督；</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）采取适当合理的措施使计算基金份额认购、申购、赎回和</w:t>
      </w:r>
      <w:r>
        <w:rPr>
          <w:rFonts w:ascii="宋体" w:cs="宋体"/>
          <w:sz w:val="24"/>
          <w:szCs w:val="24"/>
          <w:highlight w:val="white"/>
          <w:lang w:eastAsia="zh-CN"/>
        </w:rPr>
        <w:t>注销</w:t>
      </w:r>
      <w:r>
        <w:rPr>
          <w:rFonts w:ascii="宋体" w:cs="宋体" w:hint="eastAsia"/>
          <w:sz w:val="24"/>
          <w:szCs w:val="24"/>
          <w:highlight w:val="white"/>
          <w:lang w:eastAsia="zh-CN"/>
        </w:rPr>
        <w:t>价格的方法符合《基金合同》等法律文件的规定，按有关规定计算并公告基金净值信息，确定基金份额申购、赎回的价格；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）进行基金会计核算并编制基金财务会计报告；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）编制季度报告、中期报告和年度报告；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）严格按照《基金法》、《基金合同》及其他有关规定，履行信息披露及报告义务；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12</w:t>
      </w:r>
      <w:r>
        <w:rPr>
          <w:rFonts w:asci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）按《基金合同》的约定确定基金收益分配方案，及时向基金份额持有人分配基金收益；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14</w:t>
      </w:r>
      <w:r>
        <w:rPr>
          <w:rFonts w:ascii="宋体" w:cs="宋体" w:hint="eastAsia"/>
          <w:sz w:val="24"/>
          <w:szCs w:val="24"/>
          <w:highlight w:val="white"/>
          <w:lang w:eastAsia="zh-CN"/>
        </w:rPr>
        <w:t>）按规定受理申购与赎回申请，及时、足额支付赎回款项；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16</w:t>
      </w:r>
      <w:r>
        <w:rPr>
          <w:rFonts w:ascii="宋体" w:cs="宋体" w:hint="eastAsia"/>
          <w:sz w:val="24"/>
          <w:szCs w:val="24"/>
          <w:highlight w:val="white"/>
          <w:lang w:eastAsia="zh-CN"/>
        </w:rPr>
        <w:t>）按规定保存基金财产管理业务活动的会计账册、报表、记录和其他相关资料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17</w:t>
      </w:r>
      <w:r>
        <w:rPr>
          <w:rFonts w:asci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18</w:t>
      </w:r>
      <w:r>
        <w:rPr>
          <w:rFonts w:ascii="宋体" w:cs="宋体" w:hint="eastAsia"/>
          <w:sz w:val="24"/>
          <w:szCs w:val="24"/>
          <w:highlight w:val="white"/>
          <w:lang w:eastAsia="zh-CN"/>
        </w:rPr>
        <w:t>）组织并参加基金财产清算小组，参与基金财产的保管、清理、估价、变现和分配；</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19</w:t>
      </w:r>
      <w:r>
        <w:rPr>
          <w:rFonts w:ascii="宋体" w:cs="宋体" w:hint="eastAsia"/>
          <w:sz w:val="24"/>
          <w:szCs w:val="24"/>
          <w:highlight w:val="white"/>
          <w:lang w:eastAsia="zh-CN"/>
        </w:rPr>
        <w:t>）面临解散、依法被撤销或者被依法宣告破产时，及时报告中国证监会并通知基金托管人；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20</w:t>
      </w:r>
      <w:r>
        <w:rPr>
          <w:rFonts w:asci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21</w:t>
      </w:r>
      <w:r>
        <w:rPr>
          <w:rFonts w:asci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22</w:t>
      </w:r>
      <w:r>
        <w:rPr>
          <w:rFonts w:ascii="宋体" w:cs="宋体" w:hint="eastAsia"/>
          <w:sz w:val="24"/>
          <w:szCs w:val="24"/>
          <w:highlight w:val="white"/>
          <w:lang w:eastAsia="zh-CN"/>
        </w:rPr>
        <w:t>）当基金管理人将其义务委托第三方处理时，应当对第三方处理有关基金事务的行为承担责任；</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23</w:t>
      </w:r>
      <w:r>
        <w:rPr>
          <w:rFonts w:ascii="宋体" w:cs="宋体" w:hint="eastAsia"/>
          <w:sz w:val="24"/>
          <w:szCs w:val="24"/>
          <w:highlight w:val="white"/>
          <w:lang w:eastAsia="zh-CN"/>
        </w:rPr>
        <w:t>）以基金管理人名义，代表基金份额持有人利益行使诉讼权利或实施其他法律行为；</w:t>
      </w:r>
      <w:r>
        <w:rPr>
          <w:rFonts w:ascii="宋体" w:cs="宋体"/>
          <w:sz w:val="24"/>
          <w:szCs w:val="24"/>
          <w:highlight w:val="white"/>
          <w:lang w:eastAsia="zh-CN"/>
        </w:rPr>
        <w:tab/>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24</w:t>
      </w:r>
      <w:r>
        <w:rPr>
          <w:rFonts w:ascii="宋体" w:cs="宋体" w:hint="eastAsia"/>
          <w:sz w:val="24"/>
          <w:szCs w:val="24"/>
          <w:highlight w:val="white"/>
          <w:lang w:eastAsia="zh-CN"/>
        </w:rPr>
        <w:t>）基金管理人在募集期间未能达到基金</w:t>
      </w:r>
      <w:bookmarkStart w:id="167" w:name="_Hlt88823209"/>
      <w:bookmarkEnd w:id="167"/>
      <w:r>
        <w:rPr>
          <w:rFonts w:asci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cs="宋体"/>
          <w:sz w:val="24"/>
          <w:szCs w:val="24"/>
          <w:highlight w:val="white"/>
          <w:lang w:eastAsia="zh-CN"/>
        </w:rPr>
        <w:t>30</w:t>
      </w:r>
      <w:r>
        <w:rPr>
          <w:rFonts w:ascii="宋体" w:cs="宋体" w:hint="eastAsia"/>
          <w:sz w:val="24"/>
          <w:szCs w:val="24"/>
          <w:highlight w:val="white"/>
          <w:lang w:eastAsia="zh-CN"/>
        </w:rPr>
        <w:t>日内退还基金认购人；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25</w:t>
      </w:r>
      <w:r>
        <w:rPr>
          <w:rFonts w:ascii="宋体" w:cs="宋体" w:hint="eastAsia"/>
          <w:sz w:val="24"/>
          <w:szCs w:val="24"/>
          <w:highlight w:val="white"/>
          <w:lang w:eastAsia="zh-CN"/>
        </w:rPr>
        <w:t>）执行生效的基金份额持有人大会的决议；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26</w:t>
      </w:r>
      <w:r>
        <w:rPr>
          <w:rFonts w:ascii="宋体" w:cs="宋体" w:hint="eastAsia"/>
          <w:sz w:val="24"/>
          <w:szCs w:val="24"/>
          <w:highlight w:val="white"/>
          <w:lang w:eastAsia="zh-CN"/>
        </w:rPr>
        <w:t>）建立并保存基金份额持有人名册；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（27）法律法规及中国证监会规定的和《基金合同》约定的其他义务。</w:t>
      </w:r>
    </w:p>
    <w:p w:rsidR="009C732C">
      <w:pPr>
        <w:spacing w:line="360" w:lineRule="auto"/>
        <w:ind w:firstLine="480"/>
        <w:rPr>
          <w:rFonts w:ascii="宋体" w:cs="宋体"/>
          <w:sz w:val="24"/>
          <w:szCs w:val="24"/>
          <w:lang w:eastAsia="zh-CN"/>
        </w:rPr>
      </w:pPr>
      <w:bookmarkStart w:id="168" w:name="_Toc57530240"/>
      <w:bookmarkStart w:id="169" w:name="_Toc79392581"/>
      <w:bookmarkStart w:id="170" w:name="_Toc15118238"/>
      <w:r>
        <w:rPr>
          <w:rFonts w:ascii="宋体" w:cs="宋体" w:hint="eastAsia"/>
          <w:sz w:val="24"/>
          <w:szCs w:val="24"/>
          <w:highlight w:val="white"/>
          <w:lang w:eastAsia="zh-CN"/>
        </w:rPr>
        <w:t>二、基金托管人</w:t>
      </w:r>
      <w:bookmarkEnd w:id="165"/>
      <w:bookmarkEnd w:id="168"/>
      <w:bookmarkEnd w:id="169"/>
      <w:bookmarkEnd w:id="170"/>
    </w:p>
    <w:p w:rsidR="009C732C">
      <w:pPr>
        <w:spacing w:line="360" w:lineRule="auto"/>
        <w:ind w:firstLine="480"/>
        <w:rPr>
          <w:rFonts w:ascii="宋体" w:cs="宋体"/>
          <w:sz w:val="24"/>
          <w:szCs w:val="24"/>
          <w:lang w:eastAsia="zh-CN"/>
        </w:rPr>
      </w:pPr>
      <w:bookmarkStart w:id="171" w:name="_Toc15118239"/>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基金托管人简况</w:t>
      </w:r>
      <w:bookmarkEnd w:id="171"/>
    </w:p>
    <w:p w:rsidR="009C732C">
      <w:pPr>
        <w:spacing w:line="360" w:lineRule="auto"/>
        <w:ind w:firstLine="480"/>
        <w:rPr>
          <w:rFonts w:ascii="宋体" w:cs="宋体"/>
          <w:sz w:val="24"/>
          <w:szCs w:val="24"/>
          <w:lang w:eastAsia="zh-CN"/>
        </w:rPr>
      </w:pPr>
      <w:bookmarkStart w:id="172" w:name="_Toc15118240"/>
      <w:r>
        <w:rPr>
          <w:rFonts w:ascii="宋体" w:cs="宋体" w:hint="eastAsia"/>
          <w:sz w:val="24"/>
          <w:szCs w:val="24"/>
          <w:highlight w:val="white"/>
          <w:lang w:eastAsia="zh-CN"/>
        </w:rPr>
        <w:t>名称： 中国建设银行股份有限公司(简称：中国建设银行)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住所： 北京市西城区金融大街25号</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法定代表人：田国立</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成立时间：</w:t>
      </w:r>
      <w:r>
        <w:rPr>
          <w:rFonts w:ascii="宋体" w:cs="宋体"/>
          <w:sz w:val="24"/>
          <w:szCs w:val="24"/>
          <w:highlight w:val="white"/>
          <w:lang w:eastAsia="zh-CN"/>
        </w:rPr>
        <w:t>2004年09月17日</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组织形式</w:t>
      </w:r>
      <w:r>
        <w:rPr>
          <w:rFonts w:ascii="宋体" w:cs="宋体" w:hint="eastAsia"/>
          <w:bCs/>
          <w:sz w:val="24"/>
          <w:szCs w:val="24"/>
          <w:highlight w:val="white"/>
          <w:lang w:eastAsia="zh-CN"/>
        </w:rPr>
        <w:t>：</w:t>
      </w:r>
      <w:r>
        <w:rPr>
          <w:rFonts w:ascii="宋体" w:cs="宋体" w:hint="eastAsia"/>
          <w:sz w:val="24"/>
          <w:szCs w:val="24"/>
          <w:highlight w:val="white"/>
          <w:lang w:eastAsia="zh-CN"/>
        </w:rPr>
        <w:t>股份有限公司</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注册资本：</w:t>
      </w:r>
      <w:r>
        <w:rPr>
          <w:rFonts w:ascii="宋体" w:cs="宋体"/>
          <w:sz w:val="24"/>
          <w:szCs w:val="24"/>
          <w:highlight w:val="white"/>
          <w:lang w:eastAsia="zh-CN"/>
        </w:rPr>
        <w:t>贰仟伍佰亿壹仟零玖拾柒万柒仟肆佰捌拾陆元整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存续期间：持续经营</w:t>
      </w:r>
    </w:p>
    <w:p w:rsidR="009C732C">
      <w:pPr>
        <w:spacing w:line="360" w:lineRule="auto"/>
        <w:ind w:firstLine="480"/>
        <w:rPr>
          <w:rFonts w:ascii="宋体" w:cs="宋体"/>
          <w:bCs/>
          <w:color w:val="FF0000"/>
          <w:sz w:val="24"/>
          <w:szCs w:val="24"/>
          <w:lang w:eastAsia="zh-CN"/>
        </w:rPr>
      </w:pPr>
      <w:r>
        <w:rPr>
          <w:rFonts w:ascii="宋体" w:cs="宋体"/>
          <w:sz w:val="24"/>
          <w:szCs w:val="24"/>
          <w:highlight w:val="white"/>
          <w:lang w:eastAsia="zh-CN"/>
        </w:rPr>
        <w:t>基金托管资格批文及文号：中国证监会证监基字[1998]12号</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基金托管人的权利与义务</w:t>
      </w:r>
      <w:bookmarkEnd w:id="172"/>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、根据《基金法》、《运作办法》及其他有关规定，基金托管人的权利包括但不限于：</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）自《基金合同》生效之日起，依法律法规和《基金合同》的规定安全保管基金财产；</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）依《基金合同》约定获得基金托管费以及法律法规规定或监管部门批准的其他费用；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根据相关市场规则，为基金开设</w:t>
      </w:r>
      <w:r>
        <w:rPr>
          <w:rFonts w:ascii="宋体" w:cs="宋体" w:hint="eastAsia"/>
          <w:bCs/>
          <w:sz w:val="24"/>
          <w:szCs w:val="24"/>
          <w:highlight w:val="white"/>
          <w:lang w:eastAsia="zh-CN"/>
        </w:rPr>
        <w:t>资金账户、</w:t>
      </w:r>
      <w:r>
        <w:rPr>
          <w:rFonts w:ascii="宋体" w:cs="宋体"/>
          <w:bCs/>
          <w:sz w:val="24"/>
          <w:szCs w:val="24"/>
          <w:highlight w:val="white"/>
          <w:lang w:eastAsia="zh-CN"/>
        </w:rPr>
        <w:t>证券</w:t>
      </w:r>
      <w:r>
        <w:rPr>
          <w:rFonts w:ascii="宋体" w:cs="宋体" w:hint="eastAsia"/>
          <w:bCs/>
          <w:sz w:val="24"/>
          <w:szCs w:val="24"/>
          <w:highlight w:val="white"/>
          <w:lang w:eastAsia="zh-CN"/>
        </w:rPr>
        <w:t>账户等投资所需账户</w:t>
      </w:r>
      <w:r>
        <w:rPr>
          <w:rFonts w:ascii="宋体" w:cs="宋体"/>
          <w:bCs/>
          <w:sz w:val="24"/>
          <w:szCs w:val="24"/>
          <w:highlight w:val="white"/>
          <w:lang w:eastAsia="zh-CN"/>
        </w:rPr>
        <w:t>、为基金办理证券交易资金清算</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）提议召开或召集基金份额持有人大会；</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（6）在基金管理人更换时，提名新的基金管理人；</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（7</w:t>
      </w:r>
      <w:r>
        <w:rPr>
          <w:rFonts w:ascii="宋体" w:cs="宋体" w:hint="eastAsia"/>
          <w:sz w:val="24"/>
          <w:szCs w:val="24"/>
          <w:highlight w:val="white"/>
          <w:lang w:eastAsia="zh-CN"/>
        </w:rPr>
        <w:t>）法律法规及中国证监会规定的和《基金合同》约定的其他权利。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、根据《基金法》、《运作办法》及其他有关规定，基金托管人的义务包括但不限于：</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）以诚实信用、勤勉尽责的原则持有并安全保管基金财产；</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）除依据《基金法》、《基金合同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及其他有关规定外，不得利用基金财产为自己及任何第三人谋取利益，不得委托第三人托管基金财产；</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）保管由基金管理人代表基金签订的与基金有关的重大合同及有关凭证；</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）按规定开设基金财产的资金账户和证券账户</w:t>
      </w:r>
      <w:r>
        <w:rPr>
          <w:rFonts w:ascii="宋体" w:cs="宋体" w:hint="eastAsia"/>
          <w:color w:val="000000"/>
          <w:sz w:val="24"/>
          <w:szCs w:val="24"/>
          <w:highlight w:val="white"/>
          <w:lang w:eastAsia="zh-CN"/>
        </w:rPr>
        <w:t>等</w:t>
      </w:r>
      <w:r>
        <w:rPr>
          <w:rFonts w:ascii="宋体" w:cs="宋体" w:hint="eastAsia"/>
          <w:sz w:val="24"/>
          <w:szCs w:val="24"/>
          <w:highlight w:val="white"/>
          <w:lang w:eastAsia="zh-CN"/>
        </w:rPr>
        <w:t>投资所需账户，按照《基金合同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的约定，根据基金管理人的投资指令，及时办理清算、交割事宜；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）保守基金商业秘密，除《基金法》、《基金合同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及其他有关规定另有规定外，在基金信息公开披露前予以保密，不得向他人泄露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）复核、审查基金管理人计算的基金资产净值、各类基金份额净值、基金份额申购、赎回价格；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）办理与基金托管业务活动有关的信息披露事项；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规定的行为，还应当说明基金托管人是否采取了适当的措施；</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）保存基金托管业务活动的记录、账册、报表和其他相关资料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12</w:t>
      </w:r>
      <w:r>
        <w:rPr>
          <w:rFonts w:ascii="宋体" w:cs="宋体" w:hint="eastAsia"/>
          <w:color w:val="000000"/>
          <w:sz w:val="24"/>
          <w:szCs w:val="24"/>
          <w:highlight w:val="white"/>
          <w:lang w:eastAsia="zh-CN"/>
        </w:rPr>
        <w:t>）</w:t>
      </w:r>
      <w:r>
        <w:rPr>
          <w:rFonts w:ascii="宋体" w:cs="宋体"/>
          <w:bCs/>
          <w:sz w:val="24"/>
          <w:szCs w:val="24"/>
          <w:highlight w:val="white"/>
          <w:lang w:eastAsia="zh-CN"/>
        </w:rPr>
        <w:t>从基金管理人或其委托的登记机构处接收并保存基金份额持有人名册</w:t>
      </w:r>
      <w:r>
        <w:rPr>
          <w:rFonts w:ascii="宋体" w:cs="宋体" w:hint="eastAsia"/>
          <w:color w:val="000000"/>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）按规定制作相关账册并与基金管理人核对；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14</w:t>
      </w:r>
      <w:r>
        <w:rPr>
          <w:rFonts w:ascii="宋体" w:cs="宋体" w:hint="eastAsia"/>
          <w:sz w:val="24"/>
          <w:szCs w:val="24"/>
          <w:highlight w:val="white"/>
          <w:lang w:eastAsia="zh-CN"/>
        </w:rPr>
        <w:t>）依据基金管理人的指令或有关规定向基金份额持有人支付基金收益和赎回款项；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16</w:t>
      </w:r>
      <w:r>
        <w:rPr>
          <w:rFonts w:ascii="宋体" w:cs="宋体" w:hint="eastAsia"/>
          <w:sz w:val="24"/>
          <w:szCs w:val="24"/>
          <w:highlight w:val="white"/>
          <w:lang w:eastAsia="zh-CN"/>
        </w:rPr>
        <w:t>）按照法律法规和《基金合同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的规定监督基金管理人的投资运作；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17</w:t>
      </w:r>
      <w:r>
        <w:rPr>
          <w:rFonts w:ascii="宋体" w:cs="宋体" w:hint="eastAsia"/>
          <w:sz w:val="24"/>
          <w:szCs w:val="24"/>
          <w:highlight w:val="white"/>
          <w:lang w:eastAsia="zh-CN"/>
        </w:rPr>
        <w:t>）参加基金财产清算小组，参与基金财产的保管、清理、估价、变现和分配；</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18</w:t>
      </w:r>
      <w:r>
        <w:rPr>
          <w:rFonts w:ascii="宋体" w:cs="宋体" w:hint="eastAsia"/>
          <w:sz w:val="24"/>
          <w:szCs w:val="24"/>
          <w:highlight w:val="white"/>
          <w:lang w:eastAsia="zh-CN"/>
        </w:rPr>
        <w:t>）面临解散、依法被撤销或者被依法宣告破产时，及时报告中国证监会和银行监管机构，并通知基金管理人；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19</w:t>
      </w:r>
      <w:r>
        <w:rPr>
          <w:rFonts w:ascii="宋体" w:cs="宋体" w:hint="eastAsia"/>
          <w:sz w:val="24"/>
          <w:szCs w:val="24"/>
          <w:highlight w:val="white"/>
          <w:lang w:eastAsia="zh-CN"/>
        </w:rPr>
        <w:t>）因违反《基金合同》导致基金财产损失时，</w:t>
      </w:r>
      <w:r>
        <w:rPr>
          <w:rFonts w:ascii="宋体" w:cs="宋体"/>
          <w:bCs/>
          <w:sz w:val="24"/>
          <w:szCs w:val="24"/>
          <w:highlight w:val="white"/>
          <w:lang w:eastAsia="zh-CN"/>
        </w:rPr>
        <w:t>应承担赔偿责任</w:t>
      </w:r>
      <w:r>
        <w:rPr>
          <w:rFonts w:ascii="宋体" w:cs="宋体" w:hint="eastAsia"/>
          <w:sz w:val="24"/>
          <w:szCs w:val="24"/>
          <w:highlight w:val="white"/>
          <w:lang w:eastAsia="zh-CN"/>
        </w:rPr>
        <w:t>，其赔偿责任不因其退任而免除；</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20</w:t>
      </w:r>
      <w:r>
        <w:rPr>
          <w:rFonts w:asci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21</w:t>
      </w:r>
      <w:r>
        <w:rPr>
          <w:rFonts w:ascii="宋体" w:cs="宋体" w:hint="eastAsia"/>
          <w:sz w:val="24"/>
          <w:szCs w:val="24"/>
          <w:highlight w:val="white"/>
          <w:lang w:eastAsia="zh-CN"/>
        </w:rPr>
        <w:t>）执行生效的基金份额持有人大会的决议；</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2</w:t>
      </w:r>
      <w:r>
        <w:rPr>
          <w:rFonts w:ascii="宋体" w:cs="宋体"/>
          <w:bCs/>
          <w:sz w:val="24"/>
          <w:szCs w:val="24"/>
          <w:highlight w:val="white"/>
          <w:lang w:eastAsia="zh-CN"/>
        </w:rPr>
        <w:t>）</w:t>
      </w:r>
      <w:bookmarkStart w:id="174" w:name="_Toc523711670"/>
      <w:r>
        <w:rPr>
          <w:rFonts w:ascii="宋体" w:cs="宋体"/>
          <w:bCs/>
          <w:sz w:val="24"/>
          <w:szCs w:val="24"/>
          <w:highlight w:val="white"/>
          <w:lang w:eastAsia="zh-CN"/>
        </w:rPr>
        <w:t>法律法规及中国证监会规定的和《基金合同》约定的其他义务。</w:t>
      </w:r>
      <w:bookmarkEnd w:id="174"/>
    </w:p>
    <w:p w:rsidR="009C732C">
      <w:pPr>
        <w:spacing w:line="360" w:lineRule="auto"/>
        <w:ind w:firstLine="480"/>
        <w:rPr>
          <w:rFonts w:ascii="宋体" w:cs="宋体"/>
          <w:sz w:val="24"/>
          <w:szCs w:val="24"/>
          <w:lang w:eastAsia="zh-CN"/>
        </w:rPr>
      </w:pPr>
      <w:bookmarkStart w:id="175" w:name="_Toc79392582"/>
      <w:r>
        <w:rPr>
          <w:rFonts w:ascii="宋体" w:cs="宋体" w:hint="eastAsia"/>
          <w:sz w:val="24"/>
          <w:szCs w:val="24"/>
          <w:highlight w:val="white"/>
          <w:lang w:eastAsia="zh-CN"/>
        </w:rPr>
        <w:t>三、基金份额持有人</w:t>
      </w:r>
      <w:bookmarkEnd w:id="175"/>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基金投资者持有本基金</w:t>
      </w:r>
      <w:bookmarkStart w:id="176" w:name="_Hlt88899909"/>
      <w:bookmarkEnd w:id="176"/>
      <w:r>
        <w:rPr>
          <w:rFonts w:asci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同一类别的每份基金份额具有同等的合法权益。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、根据《基金法》、《运作办法》及其他有关规定，基金份额持有人的权利包括但不限于：</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）分享基金财产收益；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）参与分配清算后的剩余基金财产；</w:t>
      </w:r>
      <w:bookmarkStart w:id="177" w:name="_Hlt88825574"/>
      <w:bookmarkEnd w:id="177"/>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color w:val="000000"/>
          <w:sz w:val="24"/>
          <w:szCs w:val="24"/>
          <w:highlight w:val="white"/>
          <w:lang w:eastAsia="zh-CN"/>
        </w:rPr>
        <w:t>依法转让或者申请赎回其持有的基金份额</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）按照规定要求召开基金份额持有人大会</w:t>
      </w:r>
      <w:r>
        <w:rPr>
          <w:rFonts w:ascii="宋体" w:cs="宋体" w:hint="eastAsia"/>
          <w:color w:val="000000"/>
          <w:sz w:val="24"/>
          <w:szCs w:val="24"/>
          <w:highlight w:val="white"/>
          <w:lang w:eastAsia="zh-CN"/>
        </w:rPr>
        <w:t>或者</w:t>
      </w:r>
      <w:r>
        <w:rPr>
          <w:rFonts w:ascii="宋体" w:cs="宋体" w:hint="eastAsia"/>
          <w:sz w:val="24"/>
          <w:szCs w:val="24"/>
          <w:highlight w:val="white"/>
          <w:lang w:eastAsia="zh-CN"/>
        </w:rPr>
        <w:t>召集基金份额持有人大会</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bCs/>
          <w:sz w:val="24"/>
          <w:highlight w:val="white"/>
          <w:lang w:eastAsia="zh-CN"/>
        </w:rPr>
        <w:t>出席或者委派代表出席</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基金份额持有人大会，对</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基金份额持有人大会审议事项行使表决权</w:t>
      </w:r>
      <w:r>
        <w:rPr>
          <w:rFonts w:ascii="宋体" w:cs="宋体" w:hint="eastAsia"/>
          <w:sz w:val="24"/>
          <w:szCs w:val="24"/>
          <w:highlight w:val="white"/>
          <w:lang w:eastAsia="zh-CN"/>
        </w:rPr>
        <w:t>；</w:t>
      </w:r>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6</w:t>
      </w:r>
      <w:r>
        <w:rPr>
          <w:rFonts w:ascii="宋体" w:cs="宋体" w:hint="eastAsia"/>
          <w:color w:val="000000"/>
          <w:sz w:val="24"/>
          <w:szCs w:val="24"/>
          <w:highlight w:val="white"/>
          <w:lang w:eastAsia="zh-CN"/>
        </w:rPr>
        <w:t>）查阅或者复制公开披露的基金信息资料；</w:t>
      </w:r>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7</w:t>
      </w:r>
      <w:r>
        <w:rPr>
          <w:rFonts w:ascii="宋体" w:cs="宋体" w:hint="eastAsia"/>
          <w:color w:val="000000"/>
          <w:sz w:val="24"/>
          <w:szCs w:val="24"/>
          <w:highlight w:val="white"/>
          <w:lang w:eastAsia="zh-CN"/>
        </w:rPr>
        <w:t>）监督基金管理人的投资运作；</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8</w:t>
      </w:r>
      <w:r>
        <w:rPr>
          <w:rFonts w:ascii="宋体" w:cs="宋体" w:hint="eastAsia"/>
          <w:bCs/>
          <w:sz w:val="24"/>
          <w:szCs w:val="24"/>
          <w:highlight w:val="white"/>
          <w:lang w:eastAsia="zh-CN"/>
        </w:rPr>
        <w:t>）对基金管理人、基金托管人、基金服务机构损害其合法权益的行为依法提起诉讼或仲裁；</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、根据《基金法》、《运作办法》及其他有关规定，基金份额持有人的义务包括但不限于：</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）认真阅读并遵守《基金合同</w:t>
      </w:r>
      <w:r>
        <w:rPr>
          <w:rFonts w:ascii="宋体" w:cs="宋体"/>
          <w:bCs/>
          <w:sz w:val="24"/>
          <w:szCs w:val="24"/>
          <w:highlight w:val="white"/>
          <w:lang w:eastAsia="zh-CN"/>
        </w:rPr>
        <w:t>》</w:t>
      </w:r>
      <w:r>
        <w:rPr>
          <w:rFonts w:ascii="宋体" w:cs="宋体" w:hint="eastAsia"/>
          <w:bCs/>
          <w:sz w:val="24"/>
          <w:szCs w:val="24"/>
          <w:highlight w:val="white"/>
          <w:lang w:eastAsia="zh-CN"/>
        </w:rPr>
        <w:t>、招募说明书等信息</w:t>
      </w:r>
      <w:r>
        <w:rPr>
          <w:rFonts w:ascii="宋体" w:cs="宋体"/>
          <w:bCs/>
          <w:sz w:val="24"/>
          <w:szCs w:val="24"/>
          <w:highlight w:val="white"/>
          <w:lang w:eastAsia="zh-CN"/>
        </w:rPr>
        <w:t>披露</w:t>
      </w:r>
      <w:r>
        <w:rPr>
          <w:rFonts w:ascii="宋体" w:cs="宋体" w:hint="eastAsia"/>
          <w:bCs/>
          <w:sz w:val="24"/>
          <w:szCs w:val="24"/>
          <w:highlight w:val="white"/>
          <w:lang w:eastAsia="zh-CN"/>
        </w:rPr>
        <w:t>文件</w:t>
      </w:r>
      <w:r>
        <w:rPr>
          <w:rFonts w:ascii="宋体" w:cs="宋体"/>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）了解所投资基金产品，了解自身风险承受能力，自主判断基金的投资价值，自主做出投资决策，自行承担投资风险；</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）关注基金信息披露，及时行使权利和履行义务；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）交纳基金认购、申购款项及法律法规和《基金合同》所规定的费用；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）在其持有的基金份额范围内，承担基金亏损或者《基金合同》终止的有限责任；</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）不从事任何有损基金及其他《基金合同》当事人合法权益的活动；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）执行生效的基金份额持有人大会的决议；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）返还在基金交易过程中因任何原因获得的不当得利；</w:t>
      </w:r>
    </w:p>
    <w:p w:rsidR="009C732C">
      <w:pPr>
        <w:spacing w:line="360" w:lineRule="auto"/>
        <w:ind w:firstLine="480"/>
        <w:rPr>
          <w:rFonts w:ascii="宋体" w:cs="宋体"/>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）法律法规及中国证监会规定的和《基金合同》约定的其他义务。</w:t>
      </w:r>
    </w:p>
    <w:p w:rsidR="009C732C">
      <w:pPr>
        <w:pStyle w:val="11"/>
        <w:spacing w:before="0" w:after="0"/>
        <w:jc w:val="center"/>
        <w:rPr>
          <w:rFonts w:cs="宋体"/>
          <w:color w:val="auto"/>
          <w:sz w:val="30"/>
          <w:lang w:eastAsia="zh-CN"/>
        </w:rPr>
      </w:pPr>
      <w:r>
        <w:rPr>
          <w:rFonts w:cs="宋体"/>
          <w:b w:val="0"/>
          <w:color w:val="auto"/>
          <w:highlight w:val="white"/>
          <w:lang w:eastAsia="zh-CN"/>
        </w:rPr>
        <w:br w:type="page"/>
      </w:r>
      <w:bookmarkStart w:id="178" w:name="_Toc25783"/>
      <w:bookmarkStart w:id="179" w:name="_Toc9706"/>
      <w:bookmarkStart w:id="180" w:name="_Toc6327213"/>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r>
        <w:rPr>
          <w:rFonts w:cs="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C732C">
      <w:pPr>
        <w:tabs>
          <w:tab w:val="left" w:pos="1080"/>
        </w:tabs>
        <w:spacing w:line="360" w:lineRule="auto"/>
        <w:ind w:left="1076" w:hanging="658"/>
        <w:rPr>
          <w:rFonts w:ascii="宋体" w:cs="宋体"/>
          <w:sz w:val="24"/>
          <w:szCs w:val="24"/>
          <w:lang w:eastAsia="zh-CN"/>
        </w:rPr>
      </w:pPr>
    </w:p>
    <w:p w:rsidR="009C732C">
      <w:pPr>
        <w:spacing w:line="360" w:lineRule="auto"/>
        <w:ind w:firstLine="480"/>
        <w:rPr>
          <w:rFonts w:ascii="宋体" w:cs="宋体"/>
          <w:color w:val="000000"/>
          <w:sz w:val="24"/>
          <w:szCs w:val="24"/>
          <w:lang w:eastAsia="zh-CN"/>
        </w:rPr>
      </w:pPr>
      <w:r>
        <w:rPr>
          <w:rFonts w:asci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highlight w:val="white"/>
          <w:lang w:eastAsia="zh-CN"/>
        </w:rPr>
        <w:t>基金份额持有人持有的每一基金份额拥有平等的投票权。</w:t>
      </w:r>
    </w:p>
    <w:p w:rsidR="009C732C">
      <w:pPr>
        <w:spacing w:line="360" w:lineRule="auto"/>
        <w:ind w:firstLine="480"/>
        <w:rPr>
          <w:rFonts w:ascii="宋体"/>
          <w:bCs/>
          <w:sz w:val="24"/>
          <w:lang w:eastAsia="zh-CN"/>
        </w:rPr>
      </w:pPr>
      <w:r>
        <w:rPr>
          <w:rFonts w:ascii="宋体" w:hint="eastAsia"/>
          <w:bCs/>
          <w:sz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9C732C">
      <w:pPr>
        <w:spacing w:line="360" w:lineRule="auto"/>
        <w:ind w:firstLine="480"/>
        <w:rPr>
          <w:rFonts w:ascii="宋体"/>
          <w:bCs/>
          <w:sz w:val="24"/>
          <w:lang w:eastAsia="zh-CN"/>
        </w:rPr>
      </w:pPr>
      <w:r>
        <w:rPr>
          <w:rFonts w:ascii="宋体" w:hint="eastAsia"/>
          <w:bCs/>
          <w:sz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9C732C">
      <w:pPr>
        <w:spacing w:line="360" w:lineRule="auto"/>
        <w:ind w:firstLine="480"/>
        <w:rPr>
          <w:rFonts w:ascii="宋体" w:cs="宋体"/>
          <w:color w:val="000000"/>
          <w:sz w:val="24"/>
          <w:szCs w:val="24"/>
          <w:lang w:eastAsia="zh-CN"/>
        </w:rPr>
      </w:pPr>
      <w:r>
        <w:rPr>
          <w:rFonts w:ascii="宋体" w:hint="eastAsia"/>
          <w:bCs/>
          <w:sz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本基金份额持有人大会不设日常机构。</w:t>
      </w:r>
    </w:p>
    <w:p w:rsidR="009C732C">
      <w:pPr>
        <w:spacing w:line="360" w:lineRule="auto"/>
        <w:ind w:firstLine="480"/>
        <w:rPr>
          <w:rFonts w:ascii="宋体" w:cs="宋体"/>
          <w:sz w:val="24"/>
          <w:szCs w:val="24"/>
          <w:lang w:eastAsia="zh-CN"/>
        </w:rPr>
      </w:pPr>
      <w:bookmarkStart w:id="198" w:name="_Toc15641220"/>
      <w:bookmarkStart w:id="199" w:name="_Toc79392584"/>
      <w:bookmarkStart w:id="200" w:name="_Toc57530243"/>
      <w:r>
        <w:rPr>
          <w:rFonts w:ascii="宋体" w:cs="宋体" w:hint="eastAsia"/>
          <w:sz w:val="24"/>
          <w:szCs w:val="24"/>
          <w:highlight w:val="white"/>
          <w:lang w:eastAsia="zh-CN"/>
        </w:rPr>
        <w:t>一、召开事由</w:t>
      </w:r>
      <w:bookmarkEnd w:id="198"/>
      <w:bookmarkEnd w:id="199"/>
      <w:bookmarkEnd w:id="200"/>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bCs/>
          <w:sz w:val="24"/>
          <w:szCs w:val="24"/>
          <w:highlight w:val="white"/>
          <w:lang w:eastAsia="zh-CN"/>
        </w:rPr>
        <w:t>除法律法规、中国证监会和</w:t>
      </w:r>
      <w:r>
        <w:rPr>
          <w:rFonts w:ascii="宋体" w:cs="宋体"/>
          <w:bCs/>
          <w:sz w:val="24"/>
          <w:szCs w:val="24"/>
          <w:highlight w:val="white"/>
          <w:lang w:eastAsia="zh-CN"/>
        </w:rPr>
        <w:t>基金合同另有规定外，</w:t>
      </w:r>
      <w:r>
        <w:rPr>
          <w:rFonts w:ascii="宋体" w:cs="宋体" w:hint="eastAsia"/>
          <w:sz w:val="24"/>
          <w:szCs w:val="24"/>
          <w:highlight w:val="white"/>
          <w:lang w:eastAsia="zh-CN"/>
        </w:rPr>
        <w:t>当出现或需要决定下列事由之一的，应当召开基金份额持有人大会：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基金管理人代表本基金的基金份额持有人提议召开或召集目标ETF基金份额持有人大会；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（10）</w:t>
      </w:r>
      <w:r>
        <w:rPr>
          <w:rFonts w:ascii="宋体" w:cs="宋体"/>
          <w:sz w:val="24"/>
          <w:szCs w:val="24"/>
          <w:highlight w:val="white"/>
          <w:lang w:eastAsia="zh-CN"/>
        </w:rPr>
        <w:t>变更基金份额持有人大会程序；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）调低</w:t>
      </w:r>
      <w:r>
        <w:rPr>
          <w:rFonts w:ascii="宋体" w:cs="宋体"/>
          <w:sz w:val="24"/>
          <w:szCs w:val="24"/>
          <w:highlight w:val="white"/>
          <w:lang w:eastAsia="zh-CN"/>
        </w:rPr>
        <w:t>销售服务费率</w:t>
      </w:r>
      <w:r>
        <w:rPr>
          <w:rFonts w:ascii="宋体" w:cs="宋体" w:hint="eastAsia"/>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（2）法律法规要求增加的基金费用的收取；</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在法律法规和《基金合同》规定的范围内，</w:t>
      </w:r>
      <w:r>
        <w:rPr>
          <w:rFonts w:ascii="宋体" w:cs="宋体" w:hint="eastAsia"/>
          <w:sz w:val="24"/>
          <w:szCs w:val="24"/>
          <w:highlight w:val="white"/>
          <w:lang w:eastAsia="zh-CN"/>
        </w:rPr>
        <w:t>调整本基金的申购费率、调低赎回费率或</w:t>
      </w:r>
      <w:r>
        <w:rPr>
          <w:rFonts w:ascii="宋体" w:cs="宋体" w:hint="eastAsia"/>
          <w:bCs/>
          <w:sz w:val="24"/>
          <w:szCs w:val="24"/>
          <w:highlight w:val="white"/>
          <w:lang w:eastAsia="zh-CN"/>
        </w:rPr>
        <w:t>调整</w:t>
      </w:r>
      <w:r>
        <w:rPr>
          <w:rFonts w:ascii="宋体" w:cs="宋体" w:hint="eastAsia"/>
          <w:sz w:val="24"/>
          <w:szCs w:val="24"/>
          <w:highlight w:val="white"/>
          <w:lang w:eastAsia="zh-CN"/>
        </w:rPr>
        <w:t>收费方式、</w:t>
      </w:r>
      <w:r>
        <w:rPr>
          <w:rFonts w:ascii="宋体" w:cs="宋体" w:hint="eastAsia"/>
          <w:bCs/>
          <w:sz w:val="24"/>
          <w:szCs w:val="24"/>
          <w:highlight w:val="white"/>
          <w:lang w:eastAsia="zh-CN"/>
        </w:rPr>
        <w:t>调整基金份额类别设置</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）因相应的法律法规发生变动而应当对《基金合同》进行修改；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）对《基金合同》的修改</w:t>
      </w:r>
      <w:r>
        <w:rPr>
          <w:rFonts w:ascii="宋体" w:cs="宋体"/>
          <w:bCs/>
          <w:sz w:val="24"/>
          <w:szCs w:val="24"/>
          <w:highlight w:val="white"/>
          <w:lang w:eastAsia="zh-CN"/>
        </w:rPr>
        <w:t>对基金份额持有人利益无实质性不利影响或修改</w:t>
      </w:r>
      <w:r>
        <w:rPr>
          <w:rFonts w:ascii="宋体" w:cs="宋体" w:hint="eastAsia"/>
          <w:sz w:val="24"/>
          <w:szCs w:val="24"/>
          <w:highlight w:val="white"/>
          <w:lang w:eastAsia="zh-CN"/>
        </w:rPr>
        <w:t>不涉及《基金合同》当事人权利义务关系发生</w:t>
      </w:r>
      <w:r>
        <w:rPr>
          <w:rFonts w:ascii="宋体" w:cs="宋体" w:hint="eastAsia"/>
          <w:bCs/>
          <w:color w:val="000000"/>
          <w:sz w:val="24"/>
          <w:szCs w:val="24"/>
          <w:highlight w:val="white"/>
          <w:lang w:eastAsia="zh-CN"/>
        </w:rPr>
        <w:t>重大</w:t>
      </w:r>
      <w:r>
        <w:rPr>
          <w:rFonts w:ascii="宋体" w:cs="宋体" w:hint="eastAsia"/>
          <w:sz w:val="24"/>
          <w:szCs w:val="24"/>
          <w:highlight w:val="white"/>
          <w:lang w:eastAsia="zh-CN"/>
        </w:rPr>
        <w:t>变化；</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）基金管理人、</w:t>
      </w:r>
      <w:r>
        <w:rPr>
          <w:rFonts w:ascii="宋体" w:cs="宋体" w:hint="eastAsia"/>
          <w:bCs/>
          <w:color w:val="000000"/>
          <w:sz w:val="24"/>
          <w:szCs w:val="24"/>
          <w:highlight w:val="white"/>
          <w:lang w:eastAsia="zh-CN"/>
        </w:rPr>
        <w:t>销售</w:t>
      </w:r>
      <w:r>
        <w:rPr>
          <w:rFonts w:asci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9C732C">
      <w:pPr>
        <w:spacing w:line="360" w:lineRule="auto"/>
        <w:ind w:firstLine="480"/>
        <w:rPr>
          <w:rFonts w:ascii="宋体"/>
          <w:bCs/>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bCs/>
          <w:sz w:val="24"/>
          <w:highlight w:val="white"/>
          <w:lang w:eastAsia="zh-CN"/>
        </w:rPr>
        <w:t>调整基金收益的分配原则和支付方式；</w:t>
      </w:r>
    </w:p>
    <w:p w:rsidR="009C732C">
      <w:pPr>
        <w:spacing w:line="360" w:lineRule="auto"/>
        <w:ind w:firstLine="480"/>
        <w:rPr>
          <w:rFonts w:ascii="宋体" w:cs="宋体"/>
          <w:sz w:val="24"/>
          <w:szCs w:val="24"/>
          <w:lang w:eastAsia="zh-CN"/>
        </w:rPr>
      </w:pPr>
      <w:r>
        <w:rPr>
          <w:rFonts w:ascii="宋体" w:hint="eastAsia"/>
          <w:sz w:val="24"/>
          <w:highlight w:val="white"/>
          <w:lang w:eastAsia="zh-CN"/>
        </w:rPr>
        <w:t>（</w:t>
      </w:r>
      <w:r>
        <w:rPr>
          <w:rFonts w:ascii="宋体"/>
          <w:sz w:val="24"/>
          <w:highlight w:val="white"/>
          <w:lang w:eastAsia="zh-CN"/>
        </w:rPr>
        <w:t>8</w:t>
      </w:r>
      <w:r>
        <w:rPr>
          <w:rFonts w:ascii="宋体" w:hint="eastAsia"/>
          <w:sz w:val="24"/>
          <w:highlight w:val="white"/>
          <w:lang w:eastAsia="zh-CN"/>
        </w:rPr>
        <w:t>）</w:t>
      </w:r>
      <w:r>
        <w:rPr>
          <w:rFonts w:ascii="宋体" w:cs="宋体" w:hint="eastAsia"/>
          <w:bCs/>
          <w:sz w:val="24"/>
          <w:szCs w:val="24"/>
          <w:highlight w:val="white"/>
          <w:lang w:eastAsia="zh-CN"/>
        </w:rPr>
        <w:t>在法律法规或</w:t>
      </w:r>
      <w:r>
        <w:rPr>
          <w:rFonts w:ascii="宋体" w:cs="宋体" w:hint="eastAsia"/>
          <w:sz w:val="24"/>
          <w:szCs w:val="24"/>
          <w:highlight w:val="white"/>
          <w:lang w:eastAsia="zh-CN"/>
        </w:rPr>
        <w:t>中国证监会允许的范围内推出新业务或服务；</w:t>
      </w:r>
    </w:p>
    <w:p w:rsidR="009C732C">
      <w:pPr>
        <w:spacing w:line="360" w:lineRule="auto"/>
        <w:ind w:firstLine="480"/>
        <w:rPr>
          <w:rFonts w:ascii="宋体"/>
          <w:bCs/>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w:t>
      </w:r>
      <w:r>
        <w:rPr>
          <w:rFonts w:ascii="宋体" w:hint="eastAsia"/>
          <w:bCs/>
          <w:sz w:val="24"/>
          <w:highlight w:val="white"/>
          <w:lang w:eastAsia="zh-CN"/>
        </w:rPr>
        <w:t>由于目标ETF变更交易方式、终止上市、基金合同终止、与其他基金进行合并而变更基金投资目标、范围或策略；</w:t>
      </w:r>
    </w:p>
    <w:p w:rsidR="009C732C">
      <w:pPr>
        <w:spacing w:line="360" w:lineRule="auto"/>
        <w:ind w:firstLine="480"/>
        <w:rPr>
          <w:rFonts w:ascii="宋体" w:cs="宋体"/>
          <w:sz w:val="24"/>
          <w:szCs w:val="24"/>
          <w:lang w:eastAsia="zh-CN"/>
        </w:rPr>
      </w:pPr>
      <w:r>
        <w:rPr>
          <w:rFonts w:ascii="宋体" w:hint="eastAsia"/>
          <w:bCs/>
          <w:sz w:val="24"/>
          <w:highlight w:val="white"/>
          <w:lang w:eastAsia="zh-CN"/>
        </w:rPr>
        <w:t>（10</w:t>
      </w:r>
      <w:r>
        <w:rPr>
          <w:rFonts w:ascii="宋体"/>
          <w:bCs/>
          <w:sz w:val="24"/>
          <w:highlight w:val="white"/>
          <w:lang w:eastAsia="zh-CN"/>
        </w:rPr>
        <w:t>）</w:t>
      </w:r>
      <w:r>
        <w:rPr>
          <w:rFonts w:ascii="宋体" w:cs="宋体" w:hint="eastAsia"/>
          <w:sz w:val="24"/>
          <w:szCs w:val="24"/>
          <w:highlight w:val="white"/>
          <w:lang w:eastAsia="zh-CN"/>
        </w:rPr>
        <w:t>按照法律法规和《基金合同》规定不需召开基金份额持有人大会的其他情形。</w:t>
      </w:r>
    </w:p>
    <w:p w:rsidR="009C732C">
      <w:pPr>
        <w:spacing w:line="360" w:lineRule="auto"/>
        <w:ind w:firstLine="480"/>
        <w:rPr>
          <w:rFonts w:ascii="宋体" w:cs="宋体"/>
          <w:sz w:val="24"/>
          <w:szCs w:val="24"/>
          <w:lang w:eastAsia="zh-CN"/>
        </w:rPr>
      </w:pPr>
      <w:bookmarkStart w:id="201" w:name="_Toc15641221"/>
      <w:bookmarkStart w:id="202" w:name="_Toc79392585"/>
      <w:bookmarkStart w:id="203" w:name="_Toc57530244"/>
      <w:r>
        <w:rPr>
          <w:rFonts w:ascii="宋体" w:cs="宋体" w:hint="eastAsia"/>
          <w:sz w:val="24"/>
          <w:szCs w:val="24"/>
          <w:highlight w:val="white"/>
          <w:lang w:eastAsia="zh-CN"/>
        </w:rPr>
        <w:t>二、会议召集人及召集方式</w:t>
      </w:r>
      <w:bookmarkEnd w:id="201"/>
      <w:bookmarkEnd w:id="202"/>
      <w:bookmarkEnd w:id="203"/>
    </w:p>
    <w:p w:rsidR="009C732C">
      <w:pPr>
        <w:spacing w:line="360" w:lineRule="auto"/>
        <w:ind w:firstLine="480"/>
        <w:rPr>
          <w:rFonts w:ascii="宋体" w:cs="宋体"/>
          <w:sz w:val="24"/>
          <w:szCs w:val="24"/>
          <w:lang w:eastAsia="zh-CN"/>
        </w:rPr>
      </w:pPr>
      <w:bookmarkStart w:id="204" w:name="_Toc15641222"/>
      <w:bookmarkStart w:id="205" w:name="_Toc57530245"/>
      <w:r>
        <w:rPr>
          <w:rFonts w:ascii="宋体" w:cs="宋体"/>
          <w:sz w:val="24"/>
          <w:szCs w:val="24"/>
          <w:highlight w:val="white"/>
          <w:lang w:eastAsia="zh-CN"/>
        </w:rPr>
        <w:t>1</w:t>
      </w:r>
      <w:r>
        <w:rPr>
          <w:rFonts w:ascii="宋体" w:cs="宋体" w:hint="eastAsia"/>
          <w:sz w:val="24"/>
          <w:szCs w:val="24"/>
          <w:highlight w:val="white"/>
          <w:lang w:eastAsia="zh-CN"/>
        </w:rPr>
        <w:t>、除法律法规规定或《基金合同》另有约定外，基金份额持有人大会由基金管理人召集</w:t>
      </w:r>
      <w:r>
        <w:rPr>
          <w:rFonts w:ascii="宋体" w:cs="宋体"/>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、基金管理人未按规定召集或不能召开时，由基金托管人召集</w:t>
      </w:r>
      <w:r>
        <w:rPr>
          <w:rFonts w:ascii="宋体" w:cs="宋体"/>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日内召开并告知基金管理人，基金管理人应当配合。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代表基金份额10%</w:t>
      </w:r>
      <w:r>
        <w:rPr>
          <w:rFonts w:ascii="宋体" w:cs="宋体" w:hint="eastAsia"/>
          <w:bCs/>
          <w:sz w:val="24"/>
          <w:szCs w:val="24"/>
          <w:highlight w:val="white"/>
          <w:lang w:eastAsia="zh-CN"/>
        </w:rPr>
        <w:t>以上（含</w:t>
      </w:r>
      <w:r>
        <w:rPr>
          <w:rFonts w:ascii="宋体" w:cs="宋体"/>
          <w:bCs/>
          <w:sz w:val="24"/>
          <w:szCs w:val="24"/>
          <w:highlight w:val="white"/>
          <w:lang w:eastAsia="zh-CN"/>
        </w:rPr>
        <w:t>10%</w:t>
      </w:r>
      <w:r>
        <w:rPr>
          <w:rFonts w:ascii="宋体" w:cs="宋体" w:hint="eastAsia"/>
          <w:bCs/>
          <w:sz w:val="24"/>
          <w:szCs w:val="24"/>
          <w:highlight w:val="white"/>
          <w:lang w:eastAsia="zh-CN"/>
        </w:rPr>
        <w:t>）的</w:t>
      </w:r>
      <w:r>
        <w:rPr>
          <w:rFonts w:asci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w:t>
      </w:r>
      <w:r>
        <w:rPr>
          <w:rFonts w:ascii="宋体" w:cs="宋体" w:hint="eastAsia"/>
          <w:bCs/>
          <w:sz w:val="24"/>
          <w:szCs w:val="24"/>
          <w:highlight w:val="white"/>
          <w:lang w:eastAsia="zh-CN"/>
        </w:rPr>
        <w:t>代表</w:t>
      </w:r>
      <w:r>
        <w:rPr>
          <w:rFonts w:ascii="宋体" w:cs="宋体" w:hint="eastAsia"/>
          <w:sz w:val="24"/>
          <w:szCs w:val="24"/>
          <w:highlight w:val="white"/>
          <w:lang w:eastAsia="zh-CN"/>
        </w:rPr>
        <w:t>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w:t>
      </w:r>
      <w:r>
        <w:rPr>
          <w:rFonts w:ascii="宋体" w:cs="宋体" w:hint="eastAsia"/>
          <w:color w:val="000000"/>
          <w:sz w:val="24"/>
          <w:szCs w:val="24"/>
          <w:highlight w:val="white"/>
          <w:lang w:eastAsia="zh-CN"/>
        </w:rPr>
        <w:t>并告知基金管理人，基金管理人应当配合</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cs="宋体"/>
          <w:bCs/>
          <w:sz w:val="24"/>
          <w:szCs w:val="24"/>
          <w:highlight w:val="white"/>
          <w:lang w:eastAsia="zh-CN"/>
        </w:rPr>
        <w:t>代表基金</w:t>
      </w:r>
      <w:r>
        <w:rPr>
          <w:rFonts w:ascii="宋体" w:cs="宋体" w:hint="eastAsia"/>
          <w:sz w:val="24"/>
          <w:szCs w:val="24"/>
          <w:highlight w:val="white"/>
          <w:lang w:eastAsia="zh-CN"/>
        </w:rPr>
        <w:t>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）的基金份额持有人就同一事项要求召开基金份额持有人大会，而</w:t>
      </w:r>
      <w:r>
        <w:rPr>
          <w:rFonts w:ascii="宋体" w:cs="宋体" w:hint="eastAsia"/>
          <w:bCs/>
          <w:sz w:val="24"/>
          <w:szCs w:val="24"/>
          <w:highlight w:val="white"/>
          <w:lang w:eastAsia="zh-CN"/>
        </w:rPr>
        <w:t>基金</w:t>
      </w:r>
      <w:r>
        <w:rPr>
          <w:rFonts w:ascii="宋体" w:cs="宋体" w:hint="eastAsia"/>
          <w:sz w:val="24"/>
          <w:szCs w:val="24"/>
          <w:highlight w:val="white"/>
          <w:lang w:eastAsia="zh-CN"/>
        </w:rPr>
        <w:t>管理人、基金托管人都不召集的，单独或合计代表基金份额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）的基金份额持有人有权自行召集，并至少提前</w:t>
      </w:r>
      <w:r>
        <w:rPr>
          <w:rFonts w:ascii="宋体" w:cs="宋体"/>
          <w:sz w:val="24"/>
          <w:szCs w:val="24"/>
          <w:highlight w:val="white"/>
          <w:lang w:eastAsia="zh-CN"/>
        </w:rPr>
        <w:t>30</w:t>
      </w:r>
      <w:r>
        <w:rPr>
          <w:rFonts w:asci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、基金份额持有人会议的召集人负责选择确定开会时间、地点、方式和权益登记日。</w:t>
      </w:r>
    </w:p>
    <w:p w:rsidR="009C732C">
      <w:pPr>
        <w:spacing w:line="360" w:lineRule="auto"/>
        <w:ind w:firstLine="480"/>
        <w:rPr>
          <w:rFonts w:ascii="宋体" w:cs="宋体"/>
          <w:sz w:val="24"/>
          <w:szCs w:val="24"/>
          <w:lang w:eastAsia="zh-CN"/>
        </w:rPr>
      </w:pPr>
      <w:bookmarkStart w:id="206" w:name="_Toc79392586"/>
      <w:r>
        <w:rPr>
          <w:rFonts w:ascii="宋体" w:cs="宋体" w:hint="eastAsia"/>
          <w:sz w:val="24"/>
          <w:szCs w:val="24"/>
          <w:highlight w:val="white"/>
          <w:lang w:eastAsia="zh-CN"/>
        </w:rPr>
        <w:t>三、召开基金份额持有人大会的通知时间、通知内容、通知方式</w:t>
      </w:r>
      <w:bookmarkEnd w:id="204"/>
      <w:bookmarkEnd w:id="205"/>
      <w:bookmarkEnd w:id="206"/>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、召开基金份额持有人大会，召集人应于会议召开前</w:t>
      </w:r>
      <w:r>
        <w:rPr>
          <w:rFonts w:ascii="宋体" w:cs="宋体"/>
          <w:sz w:val="24"/>
          <w:szCs w:val="24"/>
          <w:highlight w:val="white"/>
          <w:lang w:eastAsia="zh-CN"/>
        </w:rPr>
        <w:t>30</w:t>
      </w:r>
      <w:r>
        <w:rPr>
          <w:rFonts w:ascii="宋体" w:cs="宋体" w:hint="eastAsia"/>
          <w:sz w:val="24"/>
          <w:szCs w:val="24"/>
          <w:highlight w:val="white"/>
          <w:lang w:eastAsia="zh-CN"/>
        </w:rPr>
        <w:t>日，在规定媒介公告。基金份额持有人大会通知应至少载明以下内容：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）会议召开的时间、地点和会议形式；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）会议拟审议的事项、议事程序和表决方式；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）有权出席基金份额持有人大会的基金份额持有人的权益登记日；</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）授权委托证明的内容要求（包括但不限于代理人身份，代理权限和代理有效期限等）、送达时间和地点；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）会务常设联系人姓名及联系电话；</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）出席会议者必须准备的文件和必须履行的手续；</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）召集人需要通知的其他事项。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C732C">
      <w:pPr>
        <w:spacing w:line="360" w:lineRule="auto"/>
        <w:ind w:firstLine="480"/>
        <w:rPr>
          <w:rFonts w:ascii="宋体" w:cs="宋体"/>
          <w:sz w:val="24"/>
          <w:szCs w:val="24"/>
          <w:lang w:eastAsia="zh-CN"/>
        </w:rPr>
      </w:pPr>
      <w:bookmarkStart w:id="207" w:name="_Toc57530246"/>
      <w:bookmarkStart w:id="208" w:name="_Toc79392587"/>
      <w:bookmarkStart w:id="209" w:name="_Toc15641223"/>
      <w:r>
        <w:rPr>
          <w:rFonts w:ascii="宋体" w:cs="宋体" w:hint="eastAsia"/>
          <w:sz w:val="24"/>
          <w:szCs w:val="24"/>
          <w:highlight w:val="white"/>
          <w:lang w:eastAsia="zh-CN"/>
        </w:rPr>
        <w:t>四、基金份额持有人出席会议的方式</w:t>
      </w:r>
      <w:bookmarkEnd w:id="207"/>
      <w:bookmarkEnd w:id="208"/>
      <w:bookmarkEnd w:id="209"/>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基金份额持有人大会可通过现场开会方式</w:t>
      </w:r>
      <w:r>
        <w:rPr>
          <w:rFonts w:ascii="宋体" w:cs="宋体" w:hint="eastAsia"/>
          <w:bCs/>
          <w:sz w:val="24"/>
          <w:szCs w:val="24"/>
          <w:highlight w:val="white"/>
          <w:lang w:eastAsia="zh-CN"/>
        </w:rPr>
        <w:t>、</w:t>
      </w:r>
      <w:r>
        <w:rPr>
          <w:rFonts w:ascii="宋体" w:cs="宋体" w:hint="eastAsia"/>
          <w:sz w:val="24"/>
          <w:szCs w:val="24"/>
          <w:highlight w:val="white"/>
          <w:lang w:eastAsia="zh-CN"/>
        </w:rPr>
        <w:t>通讯开会方式</w:t>
      </w:r>
      <w:r>
        <w:rPr>
          <w:rFonts w:ascii="宋体" w:cs="宋体" w:hint="eastAsia"/>
          <w:bCs/>
          <w:sz w:val="24"/>
          <w:szCs w:val="24"/>
          <w:highlight w:val="white"/>
          <w:lang w:eastAsia="zh-CN"/>
        </w:rPr>
        <w:t>或</w:t>
      </w:r>
      <w:r>
        <w:rPr>
          <w:rFonts w:ascii="宋体" w:cs="宋体" w:hint="eastAsia"/>
          <w:sz w:val="24"/>
          <w:szCs w:val="24"/>
          <w:highlight w:val="white"/>
          <w:lang w:eastAsia="zh-CN"/>
        </w:rPr>
        <w:t>法律法规、</w:t>
      </w:r>
      <w:r>
        <w:rPr>
          <w:rFonts w:ascii="宋体" w:cs="宋体" w:hint="eastAsia"/>
          <w:bCs/>
          <w:sz w:val="24"/>
          <w:szCs w:val="24"/>
          <w:highlight w:val="white"/>
          <w:lang w:eastAsia="zh-CN"/>
        </w:rPr>
        <w:t>监管</w:t>
      </w:r>
      <w:r>
        <w:rPr>
          <w:rFonts w:ascii="宋体" w:cs="宋体"/>
          <w:bCs/>
          <w:sz w:val="24"/>
          <w:szCs w:val="24"/>
          <w:highlight w:val="white"/>
          <w:lang w:eastAsia="zh-CN"/>
        </w:rPr>
        <w:t>机构</w:t>
      </w:r>
      <w:r>
        <w:rPr>
          <w:rFonts w:ascii="宋体" w:cs="宋体" w:hint="eastAsia"/>
          <w:sz w:val="24"/>
          <w:szCs w:val="24"/>
          <w:highlight w:val="white"/>
          <w:lang w:eastAsia="zh-CN"/>
        </w:rPr>
        <w:t>允许的其他方式召开，会议的召开方式由会议召集人确定。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）经核对，到会者在权益登记日代表的有效的基金份额不少于本基金在权益登记日基金总份额的</w:t>
      </w:r>
      <w:r>
        <w:rPr>
          <w:rFonts w:ascii="宋体" w:cs="宋体"/>
          <w:bCs/>
          <w:sz w:val="24"/>
          <w:szCs w:val="24"/>
          <w:highlight w:val="white"/>
          <w:lang w:eastAsia="zh-CN"/>
        </w:rPr>
        <w:t>二分之一（含二分之一）</w:t>
      </w:r>
      <w:r>
        <w:rPr>
          <w:rFonts w:ascii="宋体" w:cs="宋体" w:hint="eastAsia"/>
          <w:bCs/>
          <w:sz w:val="24"/>
          <w:szCs w:val="24"/>
          <w:highlight w:val="white"/>
          <w:lang w:eastAsia="zh-CN"/>
        </w:rPr>
        <w:t>。</w:t>
      </w:r>
      <w:r>
        <w:rPr>
          <w:rFonts w:asci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在同时符合以下条件时，通讯开会的方式视为有效：</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）会议召集人按《基金合同》约定公布会议通知后，在</w:t>
      </w:r>
      <w:r>
        <w:rPr>
          <w:rFonts w:ascii="宋体" w:cs="宋体"/>
          <w:sz w:val="24"/>
          <w:szCs w:val="24"/>
          <w:highlight w:val="white"/>
          <w:lang w:eastAsia="zh-CN"/>
        </w:rPr>
        <w:t>2</w:t>
      </w:r>
      <w:r>
        <w:rPr>
          <w:rFonts w:ascii="宋体" w:cs="宋体" w:hint="eastAsia"/>
          <w:sz w:val="24"/>
          <w:szCs w:val="24"/>
          <w:highlight w:val="white"/>
          <w:lang w:eastAsia="zh-CN"/>
        </w:rPr>
        <w:t>个工作日内连续公布相关提示性公告；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cs="宋体" w:hint="eastAsia"/>
          <w:bCs/>
          <w:sz w:val="24"/>
          <w:szCs w:val="24"/>
          <w:highlight w:val="white"/>
          <w:lang w:eastAsia="zh-CN"/>
        </w:rPr>
        <w:t>二分之一（含二分之一）</w:t>
      </w:r>
      <w:r>
        <w:rPr>
          <w:rFonts w:ascii="宋体" w:cs="宋体" w:hint="eastAsia"/>
          <w:sz w:val="24"/>
          <w:szCs w:val="24"/>
          <w:highlight w:val="white"/>
          <w:lang w:eastAsia="zh-CN"/>
        </w:rPr>
        <w:t>；</w:t>
      </w:r>
      <w:r>
        <w:rPr>
          <w:rFonts w:asci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cs="宋体"/>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）上述第（</w:t>
      </w:r>
      <w:r>
        <w:rPr>
          <w:rFonts w:ascii="宋体" w:cs="宋体"/>
          <w:sz w:val="24"/>
          <w:szCs w:val="24"/>
          <w:highlight w:val="white"/>
          <w:lang w:eastAsia="zh-CN"/>
        </w:rPr>
        <w:t>3</w:t>
      </w:r>
      <w:r>
        <w:rPr>
          <w:rFonts w:ascii="宋体" w:cs="宋体" w:hint="eastAsia"/>
          <w:sz w:val="24"/>
          <w:szCs w:val="24"/>
          <w:highlight w:val="white"/>
          <w:lang w:eastAsia="zh-CN"/>
        </w:rPr>
        <w:t>）项中直接出具书面意见的基金份额持有人或受托代表他人出具书面意见的代理人，</w:t>
      </w:r>
      <w:r>
        <w:rPr>
          <w:rFonts w:asci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cs="宋体" w:hint="eastAsia"/>
          <w:sz w:val="24"/>
          <w:szCs w:val="24"/>
          <w:highlight w:val="white"/>
          <w:lang w:eastAsia="zh-CN"/>
        </w:rPr>
        <w:t>《基金合同》和会议通知的规定，并与基金登记机构记录相符</w:t>
      </w:r>
      <w:r>
        <w:rPr>
          <w:rFonts w:ascii="宋体" w:cs="宋体" w:hint="eastAsia"/>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9C732C">
      <w:pPr>
        <w:spacing w:line="360" w:lineRule="auto"/>
        <w:ind w:firstLine="480"/>
        <w:rPr>
          <w:rFonts w:ascii="宋体" w:cs="宋体"/>
          <w:sz w:val="24"/>
          <w:szCs w:val="24"/>
          <w:lang w:eastAsia="zh-CN"/>
        </w:rPr>
      </w:pPr>
      <w:bookmarkStart w:id="210" w:name="_Toc79392588"/>
      <w:bookmarkStart w:id="211" w:name="_Toc15641224"/>
      <w:bookmarkStart w:id="212" w:name="_Toc57530247"/>
      <w:r>
        <w:rPr>
          <w:rFonts w:ascii="宋体" w:cs="宋体" w:hint="eastAsia"/>
          <w:sz w:val="24"/>
          <w:szCs w:val="24"/>
          <w:highlight w:val="white"/>
          <w:lang w:eastAsia="zh-CN"/>
        </w:rPr>
        <w:t>五、议事内容与程序</w:t>
      </w:r>
      <w:bookmarkEnd w:id="210"/>
      <w:bookmarkEnd w:id="211"/>
      <w:bookmarkEnd w:id="212"/>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、议事内容及提案权</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基金份额持有人大会的召集人发出召集会议的通知后，对原有提案的修改应当在基金份额持有人大会召开前及时公告。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基金份额持有人大会不得对未事先公告的议事内容进行表决。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、议事程序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）现场开会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highlight w:val="white"/>
          <w:lang w:eastAsia="zh-CN"/>
        </w:rPr>
        <w:t>50%</w:t>
      </w:r>
      <w:r>
        <w:rPr>
          <w:rFonts w:ascii="宋体" w:cs="宋体" w:hint="eastAsia"/>
          <w:sz w:val="24"/>
          <w:szCs w:val="24"/>
          <w:highlight w:val="white"/>
          <w:lang w:eastAsia="zh-CN"/>
        </w:rPr>
        <w:t>以上（含</w:t>
      </w:r>
      <w:r>
        <w:rPr>
          <w:rFonts w:ascii="宋体" w:cs="宋体"/>
          <w:bCs/>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）通讯开会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在通讯开会的情况下，首先由召集人提前</w:t>
      </w:r>
      <w:r>
        <w:rPr>
          <w:rFonts w:ascii="宋体" w:cs="宋体"/>
          <w:sz w:val="24"/>
          <w:szCs w:val="24"/>
          <w:highlight w:val="white"/>
          <w:lang w:eastAsia="zh-CN"/>
        </w:rPr>
        <w:t>30</w:t>
      </w:r>
      <w:r>
        <w:rPr>
          <w:rFonts w:ascii="宋体" w:cs="宋体" w:hint="eastAsia"/>
          <w:sz w:val="24"/>
          <w:szCs w:val="24"/>
          <w:highlight w:val="white"/>
          <w:lang w:eastAsia="zh-CN"/>
        </w:rPr>
        <w:t>日公布提案，在所通知的表决截止日期后</w:t>
      </w:r>
      <w:r>
        <w:rPr>
          <w:rFonts w:ascii="宋体" w:cs="宋体"/>
          <w:sz w:val="24"/>
          <w:szCs w:val="24"/>
          <w:highlight w:val="white"/>
          <w:lang w:eastAsia="zh-CN"/>
        </w:rPr>
        <w:t>2</w:t>
      </w:r>
      <w:r>
        <w:rPr>
          <w:rFonts w:ascii="宋体" w:cs="宋体" w:hint="eastAsia"/>
          <w:sz w:val="24"/>
          <w:szCs w:val="24"/>
          <w:highlight w:val="white"/>
          <w:lang w:eastAsia="zh-CN"/>
        </w:rPr>
        <w:t>个工作日内在公证机关监督下由召集人统计全部有效表决，在公证机关监督下形成决议。</w:t>
      </w:r>
    </w:p>
    <w:p w:rsidR="009C732C">
      <w:pPr>
        <w:spacing w:line="360" w:lineRule="auto"/>
        <w:ind w:firstLine="480"/>
        <w:rPr>
          <w:rFonts w:ascii="宋体" w:cs="宋体"/>
          <w:sz w:val="24"/>
          <w:szCs w:val="24"/>
          <w:lang w:eastAsia="zh-CN"/>
        </w:rPr>
      </w:pPr>
      <w:bookmarkStart w:id="213" w:name="_Toc79392589"/>
      <w:bookmarkStart w:id="214" w:name="_Toc57530248"/>
      <w:bookmarkStart w:id="215" w:name="_Toc15641225"/>
      <w:r>
        <w:rPr>
          <w:rFonts w:ascii="宋体" w:cs="宋体" w:hint="eastAsia"/>
          <w:sz w:val="24"/>
          <w:szCs w:val="24"/>
          <w:highlight w:val="white"/>
          <w:lang w:eastAsia="zh-CN"/>
        </w:rPr>
        <w:t>六、表决</w:t>
      </w:r>
      <w:bookmarkEnd w:id="213"/>
      <w:bookmarkEnd w:id="214"/>
      <w:bookmarkEnd w:id="215"/>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基金份额持有人所持每份基金份额有一票表决权。</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基金份额持有人大会决议分为一般决议和特别决议：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、一般决议，一般决议须经参加大会的基金份额持有人或其代理人所持表决权的</w:t>
      </w:r>
      <w:r>
        <w:rPr>
          <w:rFonts w:ascii="宋体" w:cs="宋体" w:hint="eastAsia"/>
          <w:bCs/>
          <w:sz w:val="24"/>
          <w:szCs w:val="24"/>
          <w:highlight w:val="white"/>
          <w:lang w:eastAsia="zh-CN"/>
        </w:rPr>
        <w:t>二分之一以上（含二分之一）</w:t>
      </w:r>
      <w:r>
        <w:rPr>
          <w:rFonts w:ascii="宋体" w:cs="宋体" w:hint="eastAsia"/>
          <w:sz w:val="24"/>
          <w:szCs w:val="24"/>
          <w:highlight w:val="white"/>
          <w:lang w:eastAsia="zh-CN"/>
        </w:rPr>
        <w:t>通过方为有效；除下列第</w:t>
      </w:r>
      <w:r>
        <w:rPr>
          <w:rFonts w:ascii="宋体" w:cs="宋体"/>
          <w:sz w:val="24"/>
          <w:szCs w:val="24"/>
          <w:highlight w:val="white"/>
          <w:lang w:eastAsia="zh-CN"/>
        </w:rPr>
        <w:t>2</w:t>
      </w:r>
      <w:r>
        <w:rPr>
          <w:rFonts w:ascii="宋体" w:cs="宋体" w:hint="eastAsia"/>
          <w:sz w:val="24"/>
          <w:szCs w:val="24"/>
          <w:highlight w:val="white"/>
          <w:lang w:eastAsia="zh-CN"/>
        </w:rPr>
        <w:t>项所规定的须以特别决议通过事项以外的其他事项均以一般决议的方式通过。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另有约定外，转换基金运作方式、更换基金管理人或者基金托管人、终止《基金合同》、本</w:t>
      </w:r>
      <w:r>
        <w:rPr>
          <w:rFonts w:ascii="宋体" w:cs="宋体"/>
          <w:sz w:val="24"/>
          <w:szCs w:val="24"/>
          <w:highlight w:val="white"/>
          <w:lang w:eastAsia="zh-CN"/>
        </w:rPr>
        <w:t>基金</w:t>
      </w:r>
      <w:r>
        <w:rPr>
          <w:rFonts w:ascii="宋体" w:cs="宋体" w:hint="eastAsia"/>
          <w:sz w:val="24"/>
          <w:szCs w:val="24"/>
          <w:highlight w:val="white"/>
          <w:lang w:eastAsia="zh-CN"/>
        </w:rPr>
        <w:t>与其他基金合并以特别决议通过方为有效。</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基金份额持有人大会采取记名方式进行投票表决。</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基金份额持有人大会的各项提案或同一项提案内并列的各项议题应当分开审议、逐项表决。</w:t>
      </w:r>
    </w:p>
    <w:p w:rsidR="009C732C">
      <w:pPr>
        <w:spacing w:line="360" w:lineRule="auto"/>
        <w:ind w:firstLine="480"/>
        <w:rPr>
          <w:rFonts w:ascii="宋体" w:cs="宋体"/>
          <w:sz w:val="24"/>
          <w:szCs w:val="24"/>
          <w:lang w:eastAsia="zh-CN"/>
        </w:rPr>
      </w:pPr>
      <w:bookmarkStart w:id="216" w:name="_Toc79392590"/>
      <w:bookmarkStart w:id="217" w:name="_Toc15641226"/>
      <w:bookmarkStart w:id="218" w:name="_Toc57530249"/>
      <w:r>
        <w:rPr>
          <w:rFonts w:ascii="宋体" w:cs="宋体" w:hint="eastAsia"/>
          <w:sz w:val="24"/>
          <w:szCs w:val="24"/>
          <w:highlight w:val="white"/>
          <w:lang w:eastAsia="zh-CN"/>
        </w:rPr>
        <w:t>七、计票</w:t>
      </w:r>
      <w:bookmarkEnd w:id="216"/>
      <w:bookmarkEnd w:id="217"/>
      <w:bookmarkEnd w:id="218"/>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）监票人应当在基金份额持有人表决后立即进行清点并由大会主持人当场公布计票结果。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）计票过程应由公证机关予以公证，基金管理人或基金托管人拒不出席大会的，不影响计票的效力。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Pr>
          <w:rFonts w:ascii="宋体" w:cs="宋体" w:hint="eastAsia"/>
          <w:sz w:val="24"/>
          <w:szCs w:val="24"/>
          <w:highlight w:val="white"/>
          <w:lang w:eastAsia="zh-CN"/>
        </w:rPr>
        <w:t>。基金管理人或基金托管人拒派代表对书面表决意见的计票进行监督的，不影响计票和表决结果。</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八、生效与公告</w:t>
      </w:r>
      <w:bookmarkEnd w:id="219"/>
      <w:bookmarkEnd w:id="220"/>
      <w:bookmarkEnd w:id="221"/>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基金份额持有人大会的决议，召集人应当自通过之日起</w:t>
      </w:r>
      <w:r>
        <w:rPr>
          <w:rFonts w:ascii="宋体" w:cs="宋体"/>
          <w:sz w:val="24"/>
          <w:szCs w:val="24"/>
          <w:highlight w:val="white"/>
          <w:lang w:eastAsia="zh-CN"/>
        </w:rPr>
        <w:t>5</w:t>
      </w:r>
      <w:r>
        <w:rPr>
          <w:rFonts w:ascii="宋体" w:cs="宋体" w:hint="eastAsia"/>
          <w:sz w:val="24"/>
          <w:szCs w:val="24"/>
          <w:highlight w:val="white"/>
          <w:lang w:eastAsia="zh-CN"/>
        </w:rPr>
        <w:t>日内报中国证监会备案。</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基金份额持有人大会的决议自表决通过之日起生效。</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基金份额持有人大会决议自生效之日起</w:t>
      </w:r>
      <w:r>
        <w:rPr>
          <w:rFonts w:ascii="宋体" w:cs="宋体"/>
          <w:sz w:val="24"/>
          <w:szCs w:val="24"/>
          <w:highlight w:val="white"/>
          <w:lang w:eastAsia="zh-CN"/>
        </w:rPr>
        <w:t>2</w:t>
      </w:r>
      <w:r>
        <w:rPr>
          <w:rFonts w:ascii="宋体" w:cs="宋体" w:hint="eastAsia"/>
          <w:sz w:val="24"/>
          <w:szCs w:val="24"/>
          <w:highlight w:val="white"/>
          <w:lang w:eastAsia="zh-CN"/>
        </w:rPr>
        <w:t>日内在规定媒介上公告。</w:t>
      </w:r>
      <w:bookmarkStart w:id="222" w:name="_Hlt88820702"/>
      <w:bookmarkEnd w:id="222"/>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九、实施侧袋机制期间基金份额持有人大会的特殊约定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、基金份额持有人行使提议权、召集权、提名权所需单独或合计代表相关基金份额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、现场开会的到会者在权益登记日代表的基金份额不少于本基金在权益登记日相关基金份额的二分之一（含二分之一）；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cs="宋体"/>
          <w:sz w:val="24"/>
          <w:szCs w:val="24"/>
          <w:highlight w:val="white"/>
          <w:lang w:eastAsia="zh-CN"/>
        </w:rPr>
        <w:t>3</w:t>
      </w:r>
      <w:r>
        <w:rPr>
          <w:rFonts w:ascii="宋体" w:cs="宋体" w:hint="eastAsia"/>
          <w:sz w:val="24"/>
          <w:szCs w:val="24"/>
          <w:highlight w:val="white"/>
          <w:lang w:eastAsia="zh-CN"/>
        </w:rPr>
        <w:t>个月以后、</w:t>
      </w:r>
      <w:r>
        <w:rPr>
          <w:rFonts w:ascii="宋体" w:cs="宋体"/>
          <w:sz w:val="24"/>
          <w:szCs w:val="24"/>
          <w:highlight w:val="white"/>
          <w:lang w:eastAsia="zh-CN"/>
        </w:rPr>
        <w:t>6</w:t>
      </w:r>
      <w:r>
        <w:rPr>
          <w:rFonts w:asci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、现场开会由出席大会的基金份额持有人和代理人所持表决权的</w:t>
      </w:r>
      <w:r>
        <w:rPr>
          <w:rFonts w:ascii="宋体" w:cs="宋体"/>
          <w:sz w:val="24"/>
          <w:szCs w:val="24"/>
          <w:highlight w:val="white"/>
          <w:lang w:eastAsia="zh-CN"/>
        </w:rPr>
        <w:t>50%</w:t>
      </w:r>
      <w:r>
        <w:rPr>
          <w:rFonts w:ascii="宋体" w:cs="宋体" w:hint="eastAsia"/>
          <w:sz w:val="24"/>
          <w:szCs w:val="24"/>
          <w:highlight w:val="white"/>
          <w:lang w:eastAsia="zh-CN"/>
        </w:rPr>
        <w:t>以上（含</w:t>
      </w:r>
      <w:r>
        <w:rPr>
          <w:rFonts w:ascii="宋体" w:cs="宋体"/>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、一般决议须经参加大会的基金份额持有人或其代理人所持表决权的二分之一以上（含二分之一）通过；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、特别决议应当经参加大会的基金份额持有人或其代理人所持表决权的三分之二以上（含三分之二）通过。</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同一主侧袋账户内的每份基金份额具有平等的表决权。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十</w:t>
      </w:r>
      <w:r>
        <w:rPr>
          <w:rFonts w:asci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cs="宋体" w:hint="eastAsia"/>
          <w:bCs/>
          <w:sz w:val="24"/>
          <w:szCs w:val="24"/>
          <w:highlight w:val="white"/>
          <w:lang w:eastAsia="zh-CN"/>
        </w:rPr>
        <w:t>经与基金托管人协商一致并</w:t>
      </w:r>
      <w:r>
        <w:rPr>
          <w:rFonts w:ascii="宋体" w:cs="宋体" w:hint="eastAsia"/>
          <w:sz w:val="24"/>
          <w:szCs w:val="24"/>
          <w:highlight w:val="white"/>
          <w:lang w:eastAsia="zh-CN"/>
        </w:rPr>
        <w:t>提前公告后，可直接对本部分内容进行修改和调整，无需召开基金份额持有人大会审议。</w:t>
      </w:r>
    </w:p>
    <w:p w:rsidR="009C732C">
      <w:pPr>
        <w:pStyle w:val="11"/>
        <w:jc w:val="center"/>
        <w:rPr>
          <w:rFonts w:cs="宋体"/>
          <w:color w:val="auto"/>
          <w:lang w:eastAsia="zh-CN"/>
        </w:rPr>
      </w:pPr>
      <w:bookmarkStart w:id="223" w:name="_Toc3963"/>
      <w:bookmarkStart w:id="224" w:name="_Toc18769"/>
      <w:bookmarkStart w:id="225" w:name="_Toc1745"/>
      <w:r>
        <w:rPr>
          <w:rFonts w:cs="宋体"/>
          <w:b w:val="0"/>
          <w:color w:val="auto"/>
          <w:highlight w:val="white"/>
          <w:lang w:eastAsia="zh-CN"/>
        </w:rPr>
        <w:br w:type="page"/>
      </w:r>
      <w:bookmarkStart w:id="226" w:name="_Toc725"/>
      <w:bookmarkStart w:id="227" w:name="_Toc6327214"/>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r>
        <w:rPr>
          <w:rFonts w:cs="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9C732C">
      <w:pPr>
        <w:spacing w:line="360" w:lineRule="auto"/>
        <w:rPr>
          <w:rFonts w:ascii="宋体" w:cs="宋体"/>
          <w:sz w:val="24"/>
          <w:szCs w:val="24"/>
          <w:lang w:eastAsia="zh-CN"/>
        </w:rPr>
      </w:pPr>
      <w:bookmarkStart w:id="242" w:name="_Toc79392593"/>
      <w:bookmarkStart w:id="243" w:name="_Toc57530252"/>
      <w:bookmarkStart w:id="244" w:name="_Toc15118245"/>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一、基金管理人和基金托管人职责终止的情形</w:t>
      </w:r>
      <w:bookmarkEnd w:id="242"/>
      <w:bookmarkEnd w:id="243"/>
      <w:bookmarkEnd w:id="244"/>
    </w:p>
    <w:p w:rsidR="009C732C">
      <w:pPr>
        <w:spacing w:line="360" w:lineRule="auto"/>
        <w:ind w:firstLine="480"/>
        <w:rPr>
          <w:rFonts w:ascii="宋体" w:cs="宋体"/>
          <w:sz w:val="24"/>
          <w:szCs w:val="24"/>
          <w:lang w:eastAsia="zh-CN"/>
        </w:rPr>
      </w:pPr>
      <w:bookmarkStart w:id="245" w:name="_Toc22005971"/>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基金管理人职责终止的情形</w:t>
      </w:r>
      <w:bookmarkEnd w:id="245"/>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有下列情形之一的，基金管理人职责终止：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、被依法取消基金管理资格；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9C732C">
      <w:pPr>
        <w:spacing w:line="360" w:lineRule="auto"/>
        <w:ind w:firstLine="420"/>
        <w:rPr>
          <w:rFonts w:ascii="宋体" w:cs="宋体"/>
          <w:sz w:val="24"/>
          <w:szCs w:val="24"/>
          <w:lang w:eastAsia="zh-CN"/>
        </w:rPr>
      </w:pPr>
      <w:bookmarkStart w:id="246" w:name="_Toc22005972"/>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基金托管人职责终止的情形</w:t>
      </w:r>
      <w:bookmarkEnd w:id="246"/>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有下列情形之一的，基金托管人职责终止：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、被依法取消基金托管资格；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9C732C">
      <w:pPr>
        <w:spacing w:line="360" w:lineRule="auto"/>
        <w:ind w:firstLine="420"/>
        <w:rPr>
          <w:rFonts w:ascii="宋体" w:cs="宋体"/>
          <w:sz w:val="24"/>
          <w:szCs w:val="24"/>
          <w:lang w:eastAsia="zh-CN"/>
        </w:rPr>
      </w:pPr>
      <w:bookmarkStart w:id="247" w:name="_Toc57530253"/>
      <w:bookmarkStart w:id="248" w:name="_Toc15118246"/>
      <w:bookmarkStart w:id="249" w:name="_Toc79392594"/>
      <w:r>
        <w:rPr>
          <w:rFonts w:ascii="宋体" w:cs="宋体" w:hint="eastAsia"/>
          <w:sz w:val="24"/>
          <w:szCs w:val="24"/>
          <w:highlight w:val="white"/>
          <w:lang w:eastAsia="zh-CN"/>
        </w:rPr>
        <w:t>二、基金管理人和基金托管人的更换程序</w:t>
      </w:r>
      <w:bookmarkEnd w:id="247"/>
      <w:bookmarkEnd w:id="248"/>
      <w:bookmarkEnd w:id="249"/>
    </w:p>
    <w:p w:rsidR="009C732C">
      <w:pPr>
        <w:spacing w:line="360" w:lineRule="auto"/>
        <w:ind w:firstLine="480"/>
        <w:rPr>
          <w:rFonts w:ascii="宋体" w:cs="宋体"/>
          <w:sz w:val="24"/>
          <w:szCs w:val="24"/>
          <w:lang w:eastAsia="zh-CN"/>
        </w:rPr>
      </w:pPr>
      <w:bookmarkStart w:id="250" w:name="_Toc22005974"/>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基金管理人的更换程序</w:t>
      </w:r>
      <w:bookmarkEnd w:id="250"/>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、提名：新任基金管理人由基金托管人或由单独或合计持有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w:t>
      </w:r>
      <w:r>
        <w:rPr>
          <w:rFonts w:ascii="宋体" w:cs="宋体" w:hint="eastAsia"/>
          <w:sz w:val="24"/>
          <w:szCs w:val="24"/>
          <w:highlight w:val="white"/>
          <w:lang w:eastAsia="zh-CN"/>
        </w:rPr>
        <w:t>的基金份额持有人提名；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、决议：基金份额持有人大会在基金管理人职责终止后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0365D6" w:rsidP="000365D6">
      <w:pPr>
        <w:spacing w:line="360" w:lineRule="auto"/>
        <w:ind w:firstLine="480"/>
        <w:rPr>
          <w:rFonts w:ascii="宋体" w:cs="宋体"/>
          <w:sz w:val="24"/>
          <w:szCs w:val="24"/>
          <w:highlight w:val="white"/>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、临时基金管理人：</w:t>
      </w:r>
      <w:r>
        <w:rPr>
          <w:rFonts w:ascii="宋体" w:cs="宋体" w:hint="eastAsia"/>
          <w:sz w:val="24"/>
          <w:szCs w:val="24"/>
          <w:highlight w:val="white"/>
          <w:lang w:eastAsia="zh-CN"/>
        </w:rPr>
        <w:t>新任基金</w:t>
      </w:r>
      <w:r>
        <w:rPr>
          <w:rFonts w:ascii="宋体" w:cs="宋体" w:hint="eastAsia"/>
          <w:sz w:val="24"/>
          <w:szCs w:val="24"/>
          <w:highlight w:val="white"/>
          <w:lang w:eastAsia="zh-CN"/>
        </w:rPr>
        <w:t>管理人产生之前，由中国证监会指定临时基金管理人；</w:t>
      </w:r>
    </w:p>
    <w:p w:rsidR="009C732C" w:rsidP="000365D6">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w:t>
      </w:r>
      <w:r>
        <w:rPr>
          <w:rFonts w:ascii="宋体" w:cs="宋体"/>
          <w:sz w:val="24"/>
          <w:szCs w:val="24"/>
          <w:highlight w:val="white"/>
          <w:lang w:eastAsia="zh-CN"/>
        </w:rPr>
        <w:t>更换</w:t>
      </w:r>
      <w:r>
        <w:rPr>
          <w:rFonts w:ascii="宋体" w:cs="宋体" w:hint="eastAsia"/>
          <w:sz w:val="24"/>
          <w:szCs w:val="24"/>
          <w:highlight w:val="white"/>
          <w:lang w:eastAsia="zh-CN"/>
        </w:rPr>
        <w:t>基金管理人的决议须报中国证监会备案；</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、公告：基金管理人更换后，</w:t>
      </w:r>
      <w:r>
        <w:rPr>
          <w:rFonts w:ascii="宋体" w:cs="宋体"/>
          <w:bCs/>
          <w:sz w:val="24"/>
          <w:szCs w:val="24"/>
          <w:highlight w:val="white"/>
          <w:lang w:eastAsia="zh-CN"/>
        </w:rPr>
        <w:t>由基金托管人在更换基金管理人的基金份额持有人大会决议生效后2日内在</w:t>
      </w:r>
      <w:r>
        <w:rPr>
          <w:rFonts w:ascii="宋体" w:cs="宋体" w:hint="eastAsia"/>
          <w:bCs/>
          <w:sz w:val="24"/>
          <w:szCs w:val="24"/>
          <w:highlight w:val="white"/>
          <w:lang w:eastAsia="zh-CN"/>
        </w:rPr>
        <w:t>规定媒介</w:t>
      </w:r>
      <w:r>
        <w:rPr>
          <w:rFonts w:ascii="宋体" w:cs="宋体"/>
          <w:bCs/>
          <w:sz w:val="24"/>
          <w:szCs w:val="24"/>
          <w:highlight w:val="white"/>
          <w:lang w:eastAsia="zh-CN"/>
        </w:rPr>
        <w:t>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9C732C">
      <w:pPr>
        <w:spacing w:line="360" w:lineRule="auto"/>
        <w:ind w:firstLine="420"/>
        <w:rPr>
          <w:rFonts w:ascii="宋体" w:cs="宋体"/>
          <w:sz w:val="24"/>
          <w:szCs w:val="24"/>
          <w:lang w:eastAsia="zh-CN"/>
        </w:rPr>
      </w:pPr>
      <w:bookmarkStart w:id="251" w:name="_Toc22005975"/>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基金托管人的更换程序</w:t>
      </w:r>
      <w:bookmarkEnd w:id="251"/>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、提名：新任基金托管人由基金管理人或由单独或合计持有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基金份额的基金份额</w:t>
      </w:r>
      <w:r>
        <w:rPr>
          <w:rFonts w:ascii="宋体" w:cs="宋体" w:hint="eastAsia"/>
          <w:sz w:val="24"/>
          <w:szCs w:val="24"/>
          <w:highlight w:val="white"/>
          <w:lang w:eastAsia="zh-CN"/>
        </w:rPr>
        <w:t>持有人提名；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、决议：基金份额持有人大会在基金托管人职责终止后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、临时基金托管人：新任基金托管人产生之前，由中国证监会指定临时基金托管人；</w:t>
      </w:r>
      <w:bookmarkStart w:id="252" w:name="_GoBack"/>
      <w:bookmarkEnd w:id="252"/>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、备案：基金份额持有人大会更换基金托管人的决议须报中国证监会备案；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、公告：基金托管人更换后，</w:t>
      </w:r>
      <w:r>
        <w:rPr>
          <w:rFonts w:ascii="宋体" w:cs="宋体"/>
          <w:bCs/>
          <w:sz w:val="24"/>
          <w:szCs w:val="24"/>
          <w:highlight w:val="white"/>
          <w:lang w:eastAsia="zh-CN"/>
        </w:rPr>
        <w:t>由基金管理人在更换基金托管人的基金份额持有人大会决议生效后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highlight w:val="white"/>
          <w:lang w:eastAsia="zh-CN"/>
        </w:rPr>
        <w:t>。</w:t>
      </w:r>
      <w:r>
        <w:rPr>
          <w:rFonts w:ascii="宋体" w:cs="宋体" w:hint="eastAsia"/>
          <w:sz w:val="24"/>
          <w:szCs w:val="24"/>
          <w:highlight w:val="white"/>
          <w:lang w:eastAsia="zh-CN"/>
        </w:rPr>
        <w:t>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bookmarkStart w:id="253" w:name="_Toc1357"/>
      <w:r>
        <w:rPr>
          <w:rFonts w:ascii="宋体" w:cs="宋体" w:hint="eastAsia"/>
          <w:sz w:val="24"/>
          <w:szCs w:val="24"/>
          <w:highlight w:val="white"/>
          <w:lang w:eastAsia="zh-CN"/>
        </w:rPr>
        <w:t>（三）基金管理人与基金托管人同时更换的条件和程序</w:t>
      </w:r>
      <w:bookmarkEnd w:id="253"/>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、提名：如果基金管理人和基金托管人同时更换，由单独或合计持有基金总份额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w:t>
      </w:r>
      <w:r>
        <w:rPr>
          <w:rFonts w:ascii="宋体" w:cs="宋体" w:hint="eastAsia"/>
          <w:bCs/>
          <w:sz w:val="24"/>
          <w:szCs w:val="24"/>
          <w:highlight w:val="white"/>
          <w:lang w:eastAsia="zh-CN"/>
        </w:rPr>
        <w:t>基金份额</w:t>
      </w:r>
      <w:r>
        <w:rPr>
          <w:rFonts w:ascii="宋体" w:cs="宋体" w:hint="eastAsia"/>
          <w:sz w:val="24"/>
          <w:szCs w:val="24"/>
          <w:highlight w:val="white"/>
          <w:lang w:eastAsia="zh-CN"/>
        </w:rPr>
        <w:t>持有人提名新的基金管理人和基金托管人；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、基金管理人和基金托管人的更换分别按上述程序进行；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、公告：新任基金管理人和新任基金托管人应在更换基金管理人和基金托管人的基金份额持有人大会决议生效后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日内在规定媒介上联合公告。</w:t>
      </w:r>
    </w:p>
    <w:p w:rsidR="009C732C">
      <w:pPr>
        <w:spacing w:line="360" w:lineRule="auto"/>
        <w:ind w:firstLine="420"/>
        <w:rPr>
          <w:rFonts w:ascii="宋体" w:cs="宋体"/>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C732C">
      <w:pPr>
        <w:pStyle w:val="11"/>
        <w:spacing w:before="0" w:after="0"/>
        <w:jc w:val="center"/>
        <w:rPr>
          <w:rFonts w:cs="宋体"/>
          <w:sz w:val="30"/>
          <w:lang w:eastAsia="zh-CN"/>
        </w:rPr>
      </w:pPr>
      <w:r>
        <w:rPr>
          <w:rFonts w:cs="宋体"/>
          <w:b w:val="0"/>
          <w:color w:val="auto"/>
          <w:highlight w:val="white"/>
          <w:lang w:eastAsia="zh-CN"/>
        </w:rPr>
        <w:br w:type="page"/>
      </w:r>
      <w:bookmarkStart w:id="254" w:name="_Toc141703890"/>
      <w:bookmarkStart w:id="255" w:name="_Toc123051456"/>
      <w:bookmarkStart w:id="256" w:name="_Toc739"/>
      <w:bookmarkStart w:id="257" w:name="_Toc79392622"/>
      <w:bookmarkStart w:id="258" w:name="_Toc123102457"/>
      <w:bookmarkStart w:id="259" w:name="_Toc32584"/>
      <w:bookmarkStart w:id="260" w:name="_Toc21237"/>
      <w:bookmarkStart w:id="261" w:name="_Toc6327215"/>
      <w:bookmarkStart w:id="262" w:name="_Toc98560356"/>
      <w:bookmarkStart w:id="263" w:name="_Toc5170"/>
      <w:bookmarkStart w:id="264" w:name="_Toc123112238"/>
      <w:bookmarkStart w:id="265" w:name="_Toc32092"/>
      <w:bookmarkStart w:id="266" w:name="_Toc446339248"/>
      <w:bookmarkStart w:id="267" w:name="_Toc139991740"/>
      <w:bookmarkStart w:id="268" w:name="_Toc3329"/>
      <w:bookmarkStart w:id="269" w:name="_Toc17920"/>
      <w:bookmarkStart w:id="270" w:name="_Toc29408"/>
      <w:bookmarkStart w:id="271" w:name="_Toc8791"/>
      <w:bookmarkStart w:id="272" w:name="_Toc20976"/>
      <w:bookmarkStart w:id="273" w:name="_Toc48649708"/>
      <w:bookmarkStart w:id="274" w:name="_Toc17198"/>
      <w:r>
        <w:rPr>
          <w:rFonts w:cs="宋体" w:hint="eastAsia"/>
          <w:color w:val="auto"/>
          <w:sz w:val="30"/>
          <w:highlight w:val="white"/>
          <w:lang w:eastAsia="zh-CN"/>
        </w:rPr>
        <w:t>第十部分</w:t>
      </w:r>
      <w:r>
        <w:rPr>
          <w:rFonts w:cs="宋体"/>
          <w:sz w:val="30"/>
          <w:highlight w:val="white"/>
          <w:lang w:eastAsia="zh-CN"/>
        </w:rPr>
        <w:t xml:space="preserve"> </w:t>
      </w:r>
      <w:r>
        <w:rPr>
          <w:rFonts w:cs="宋体" w:hint="eastAsia"/>
          <w:sz w:val="30"/>
          <w:highlight w:val="white"/>
          <w:lang w:eastAsia="zh-CN"/>
        </w:rPr>
        <w:t>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9C732C">
      <w:pPr>
        <w:spacing w:line="360" w:lineRule="auto"/>
        <w:rPr>
          <w:rFonts w:ascii="宋体" w:cs="宋体"/>
          <w:color w:val="000000"/>
          <w:sz w:val="24"/>
          <w:szCs w:val="24"/>
          <w:lang w:eastAsia="zh-CN"/>
        </w:rPr>
      </w:pPr>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基金托管人和基金管理人按照《基金法》、《基金合同》及其他有关规定订立托管协议。</w:t>
      </w:r>
    </w:p>
    <w:p w:rsidR="009C732C">
      <w:pPr>
        <w:spacing w:line="360" w:lineRule="auto"/>
        <w:ind w:firstLine="420"/>
        <w:rPr>
          <w:rFonts w:ascii="宋体" w:cs="宋体"/>
          <w:sz w:val="24"/>
          <w:szCs w:val="24"/>
          <w:lang w:eastAsia="zh-CN"/>
        </w:rPr>
      </w:pPr>
      <w:r>
        <w:rPr>
          <w:rFonts w:asci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C732C">
      <w:pPr>
        <w:spacing w:line="360" w:lineRule="auto"/>
        <w:ind w:firstLine="420"/>
        <w:rPr>
          <w:rFonts w:ascii="宋体" w:cs="宋体"/>
          <w:color w:val="000000"/>
          <w:sz w:val="24"/>
          <w:szCs w:val="24"/>
          <w:lang w:eastAsia="zh-CN"/>
        </w:rPr>
      </w:pPr>
    </w:p>
    <w:p w:rsidR="009C732C">
      <w:pPr>
        <w:pStyle w:val="11"/>
        <w:spacing w:before="0" w:after="0"/>
        <w:jc w:val="center"/>
        <w:rPr>
          <w:rFonts w:cs="宋体"/>
          <w:color w:val="auto"/>
          <w:sz w:val="30"/>
          <w:lang w:eastAsia="zh-CN"/>
        </w:rPr>
      </w:pPr>
      <w:r>
        <w:rPr>
          <w:rFonts w:cs="宋体"/>
          <w:b w:val="0"/>
          <w:highlight w:val="white"/>
          <w:lang w:eastAsia="zh-CN"/>
        </w:rPr>
        <w:br w:type="page"/>
      </w:r>
      <w:bookmarkStart w:id="275" w:name="_Toc31469"/>
      <w:bookmarkStart w:id="276" w:name="_Toc14725"/>
      <w:bookmarkStart w:id="277" w:name="_Toc26084"/>
      <w:bookmarkStart w:id="278" w:name="_Toc123112239"/>
      <w:bookmarkStart w:id="279" w:name="_Toc98560357"/>
      <w:bookmarkStart w:id="280" w:name="_Toc6327216"/>
      <w:bookmarkStart w:id="281" w:name="_Toc141703891"/>
      <w:bookmarkStart w:id="282" w:name="_Toc26152"/>
      <w:bookmarkStart w:id="283" w:name="_Toc21886"/>
      <w:bookmarkStart w:id="284" w:name="_Toc139991741"/>
      <w:bookmarkStart w:id="285" w:name="_Toc26383"/>
      <w:bookmarkStart w:id="286" w:name="_Toc19520"/>
      <w:bookmarkStart w:id="287" w:name="_Toc123051457"/>
      <w:bookmarkStart w:id="288" w:name="_Toc3244"/>
      <w:bookmarkStart w:id="289" w:name="_Toc79392624"/>
      <w:bookmarkStart w:id="290" w:name="_Toc123102458"/>
      <w:bookmarkStart w:id="291" w:name="_Toc48649710"/>
      <w:bookmarkStart w:id="292" w:name="_Toc22674"/>
      <w:bookmarkStart w:id="293" w:name="_Toc446339249"/>
      <w:bookmarkStart w:id="294" w:name="_Toc16789"/>
      <w:bookmarkStart w:id="295" w:name="_Toc2255"/>
      <w:r>
        <w:rPr>
          <w:rFonts w:cs="宋体" w:hint="eastAsia"/>
          <w:sz w:val="30"/>
          <w:highlight w:val="white"/>
          <w:lang w:eastAsia="zh-CN"/>
        </w:rPr>
        <w:t>第十一部分</w:t>
      </w:r>
      <w:r>
        <w:rPr>
          <w:rFonts w:cs="宋体"/>
          <w:sz w:val="30"/>
          <w:highlight w:val="white"/>
          <w:lang w:eastAsia="zh-CN"/>
        </w:rPr>
        <w:t xml:space="preserve"> </w:t>
      </w:r>
      <w:r>
        <w:rPr>
          <w:rFonts w:cs="宋体" w:hint="eastAsia"/>
          <w:color w:val="auto"/>
          <w:sz w:val="30"/>
          <w:highlight w:val="white"/>
          <w:lang w:eastAsia="zh-CN"/>
        </w:rPr>
        <w:t>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9C732C">
      <w:pPr>
        <w:spacing w:line="360" w:lineRule="auto"/>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w:t>
      </w:r>
      <w:r>
        <w:rPr>
          <w:rFonts w:ascii="宋体" w:cs="宋体" w:hint="eastAsia"/>
          <w:bCs/>
          <w:sz w:val="24"/>
          <w:szCs w:val="24"/>
          <w:highlight w:val="white"/>
          <w:lang w:eastAsia="zh-CN"/>
        </w:rPr>
        <w:t>的</w:t>
      </w:r>
      <w:r>
        <w:rPr>
          <w:rFonts w:ascii="宋体" w:cs="宋体" w:hint="eastAsia"/>
          <w:sz w:val="24"/>
          <w:szCs w:val="24"/>
          <w:highlight w:val="white"/>
          <w:lang w:eastAsia="zh-CN"/>
        </w:rPr>
        <w:t>份额登记业务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二、基金登记业务办理机构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本基金的登记业务由基金管理人或基金管理人委托的其他符合条件的机构办理</w:t>
      </w:r>
      <w:r>
        <w:rPr>
          <w:rFonts w:ascii="宋体" w:cs="宋体"/>
          <w:bCs/>
          <w:sz w:val="24"/>
          <w:szCs w:val="24"/>
          <w:highlight w:val="white"/>
          <w:lang w:eastAsia="zh-CN"/>
        </w:rPr>
        <w:t>。</w:t>
      </w:r>
      <w:r>
        <w:rPr>
          <w:rFonts w:asci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三、基金登记机构的权利</w:t>
      </w:r>
      <w:bookmarkStart w:id="296" w:name="_Hlt88820748"/>
      <w:bookmarkEnd w:id="296"/>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基金登记机构享有以下权利：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、取得登记费；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、建立和管理投资者基金账户；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、保管基金份额持有人开户资料、交易资料、基金份额持有人名册等；</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、在法律法规允许的范围内，制定和调整</w:t>
      </w:r>
      <w:r>
        <w:rPr>
          <w:rFonts w:ascii="宋体" w:cs="宋体" w:hint="eastAsia"/>
          <w:bCs/>
          <w:sz w:val="24"/>
          <w:szCs w:val="24"/>
          <w:highlight w:val="white"/>
          <w:lang w:eastAsia="zh-CN"/>
        </w:rPr>
        <w:t>登记业务相关规则</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四、基金登记机构的义务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基金登记机构承担以下义务：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、配备足够的专业人员办理本基金份额的登记业务；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、严格按照法律法规和《基金合同》规定的条件办理本基金份额的登记业务；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、妥善保存登记数据，并将基金份额持有人名称、身份信息及基金份额明细等数据备份至中国证监会认定的机构</w:t>
      </w:r>
      <w:r>
        <w:rPr>
          <w:rFonts w:ascii="宋体" w:cs="宋体"/>
          <w:bCs/>
          <w:sz w:val="24"/>
          <w:szCs w:val="24"/>
          <w:highlight w:val="white"/>
          <w:lang w:eastAsia="zh-CN"/>
        </w:rPr>
        <w:t>。</w:t>
      </w:r>
      <w:r>
        <w:rPr>
          <w:rFonts w:ascii="宋体" w:cs="宋体" w:hint="eastAsia"/>
          <w:sz w:val="24"/>
          <w:szCs w:val="24"/>
          <w:highlight w:val="white"/>
          <w:lang w:eastAsia="zh-CN"/>
        </w:rPr>
        <w:t>其保存期限自基金账户销户之日起不得少于</w:t>
      </w:r>
      <w:r>
        <w:rPr>
          <w:rFonts w:ascii="宋体" w:cs="宋体"/>
          <w:bCs/>
          <w:sz w:val="24"/>
          <w:szCs w:val="24"/>
          <w:highlight w:val="white"/>
          <w:lang w:eastAsia="zh-CN"/>
        </w:rPr>
        <w:t>20</w:t>
      </w:r>
      <w:r>
        <w:rPr>
          <w:rFonts w:ascii="宋体" w:cs="宋体" w:hint="eastAsia"/>
          <w:bCs/>
          <w:sz w:val="24"/>
          <w:szCs w:val="24"/>
          <w:highlight w:val="white"/>
          <w:lang w:eastAsia="zh-CN"/>
        </w:rPr>
        <w:t>年</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、按《基金合同》及招募说明书规定为投资者办理非交易过户业务、提供其他必要的服务；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、接受基金管理人的监督；</w:t>
      </w:r>
    </w:p>
    <w:p w:rsidR="009C732C">
      <w:pPr>
        <w:spacing w:line="360" w:lineRule="auto"/>
        <w:ind w:firstLine="480"/>
        <w:rPr>
          <w:rFonts w:ascii="宋体" w:cs="宋体"/>
          <w:sz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、法律法规及中国证监会规定的和《基金合同》约定的其他义务。</w:t>
      </w:r>
    </w:p>
    <w:p w:rsidR="009C732C">
      <w:pPr>
        <w:pStyle w:val="11"/>
        <w:spacing w:before="0" w:after="0"/>
        <w:ind w:firstLine="420"/>
        <w:jc w:val="center"/>
        <w:rPr>
          <w:rFonts w:cs="宋体"/>
          <w:color w:val="auto"/>
          <w:sz w:val="30"/>
          <w:lang w:eastAsia="zh-CN"/>
        </w:rPr>
      </w:pPr>
      <w:r>
        <w:rPr>
          <w:rFonts w:cs="宋体"/>
          <w:b w:val="0"/>
          <w:color w:val="auto"/>
          <w:highlight w:val="white"/>
          <w:lang w:eastAsia="zh-CN"/>
        </w:rPr>
        <w:br w:type="page"/>
      </w:r>
      <w:bookmarkStart w:id="297" w:name="_Toc11351"/>
      <w:bookmarkStart w:id="298" w:name="_Toc16437"/>
      <w:bookmarkStart w:id="299" w:name="_Toc578"/>
      <w:bookmarkStart w:id="300" w:name="_Toc2981"/>
      <w:bookmarkStart w:id="301" w:name="_Toc11395"/>
      <w:bookmarkStart w:id="302" w:name="_Toc22538"/>
      <w:bookmarkStart w:id="303" w:name="_Toc5477"/>
      <w:bookmarkStart w:id="304" w:name="_Toc446339250"/>
      <w:bookmarkStart w:id="305" w:name="_Toc21917"/>
      <w:bookmarkStart w:id="306" w:name="_Toc13343"/>
      <w:bookmarkStart w:id="307" w:name="_Toc3872"/>
      <w:bookmarkStart w:id="308" w:name="_Toc801"/>
      <w:bookmarkStart w:id="309" w:name="_Toc6327217"/>
      <w:r>
        <w:rPr>
          <w:rFonts w:cs="宋体" w:hint="eastAsia"/>
          <w:color w:val="auto"/>
          <w:sz w:val="30"/>
          <w:highlight w:val="white"/>
          <w:lang w:eastAsia="zh-CN"/>
        </w:rPr>
        <w:t>第十二部分</w:t>
      </w:r>
      <w:r>
        <w:rPr>
          <w:rFonts w:cs="宋体"/>
          <w:color w:val="auto"/>
          <w:sz w:val="30"/>
          <w:highlight w:val="white"/>
          <w:lang w:eastAsia="zh-CN"/>
        </w:rPr>
        <w:t xml:space="preserve"> </w:t>
      </w:r>
      <w:r>
        <w:rPr>
          <w:rFonts w:cs="宋体" w:hint="eastAsia"/>
          <w:color w:val="auto"/>
          <w:sz w:val="30"/>
          <w:highlight w:val="white"/>
          <w:lang w:eastAsia="zh-CN"/>
        </w:rPr>
        <w:t>基金的投资</w:t>
      </w:r>
      <w:bookmarkEnd w:id="297"/>
      <w:bookmarkEnd w:id="298"/>
      <w:bookmarkEnd w:id="299"/>
      <w:bookmarkEnd w:id="300"/>
      <w:bookmarkEnd w:id="301"/>
      <w:bookmarkEnd w:id="302"/>
      <w:bookmarkEnd w:id="303"/>
      <w:bookmarkEnd w:id="304"/>
      <w:bookmarkEnd w:id="305"/>
      <w:bookmarkEnd w:id="306"/>
      <w:bookmarkEnd w:id="307"/>
      <w:bookmarkEnd w:id="308"/>
      <w:bookmarkEnd w:id="309"/>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w:t>
      </w:r>
      <w:r>
        <w:rPr>
          <w:rFonts w:ascii="宋体" w:cs="宋体"/>
          <w:sz w:val="24"/>
          <w:szCs w:val="24"/>
          <w:highlight w:val="white"/>
          <w:lang w:eastAsia="zh-CN"/>
        </w:rPr>
        <w:t>、</w:t>
      </w:r>
      <w:r>
        <w:rPr>
          <w:rFonts w:ascii="宋体" w:cs="宋体" w:hint="eastAsia"/>
          <w:sz w:val="24"/>
          <w:szCs w:val="24"/>
          <w:highlight w:val="white"/>
          <w:lang w:eastAsia="zh-CN"/>
        </w:rPr>
        <w:t>投资目标</w:t>
      </w:r>
    </w:p>
    <w:p w:rsidR="009C732C">
      <w:pPr>
        <w:spacing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二、投资范围</w:t>
      </w:r>
    </w:p>
    <w:p w:rsidR="009C732C">
      <w:pPr>
        <w:spacing w:line="360" w:lineRule="auto"/>
        <w:ind w:firstLine="480"/>
        <w:rPr>
          <w:rFonts w:ascii="宋体" w:cs="宋体"/>
          <w:sz w:val="24"/>
          <w:szCs w:val="24"/>
          <w:lang w:eastAsia="zh-CN"/>
        </w:rPr>
      </w:pPr>
      <w:bookmarkStart w:id="310" w:name="_Toc359426195"/>
      <w:r>
        <w:rPr>
          <w:rFonts w:ascii="宋体" w:cs="宋体" w:hint="eastAsia"/>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9C732C">
      <w:pPr>
        <w:spacing w:line="360" w:lineRule="auto"/>
        <w:ind w:firstLine="480"/>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本基金将根据法律法规的规定参与转融通证券出借及融资业务。</w:t>
      </w:r>
    </w:p>
    <w:p w:rsidR="009C732C">
      <w:pPr>
        <w:spacing w:line="360" w:lineRule="auto"/>
        <w:ind w:firstLine="480"/>
        <w:rPr>
          <w:rFonts w:ascii="宋体" w:cs="宋体"/>
          <w:sz w:val="24"/>
          <w:szCs w:val="24"/>
          <w:lang w:eastAsia="zh-CN"/>
        </w:rPr>
      </w:pPr>
      <w:r>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bookmarkEnd w:id="310"/>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三、投资策略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9C732C">
      <w:pPr>
        <w:spacing w:line="360" w:lineRule="auto"/>
        <w:ind w:firstLine="480"/>
        <w:rPr>
          <w:rFonts w:ascii="宋体" w:cs="宋体"/>
          <w:sz w:val="24"/>
          <w:szCs w:val="24"/>
          <w:lang w:eastAsia="zh-CN"/>
        </w:rPr>
      </w:pPr>
      <w:r>
        <w:rPr>
          <w:rFonts w:ascii="宋体" w:cs="宋体" w:hint="eastAsia"/>
          <w:sz w:val="24"/>
          <w:szCs w:val="24"/>
          <w:lang w:eastAsia="zh-CN"/>
        </w:rPr>
        <w:t>1、目标ETF投资策略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本基金投资目标ETF的方式如下：</w:t>
      </w:r>
    </w:p>
    <w:p w:rsidR="009C732C">
      <w:pPr>
        <w:spacing w:line="360" w:lineRule="auto"/>
        <w:ind w:firstLine="480"/>
        <w:rPr>
          <w:rFonts w:ascii="宋体" w:cs="宋体"/>
          <w:sz w:val="24"/>
          <w:szCs w:val="24"/>
          <w:lang w:eastAsia="zh-CN"/>
        </w:rPr>
      </w:pPr>
      <w:r>
        <w:rPr>
          <w:rFonts w:ascii="宋体" w:cs="宋体" w:hint="eastAsia"/>
          <w:sz w:val="24"/>
          <w:szCs w:val="24"/>
          <w:lang w:eastAsia="zh-CN"/>
        </w:rPr>
        <w:t>（1）申购、赎回方式：按照目标ETF法律文件约定的方式申购、赎回目标ETF。</w:t>
      </w:r>
    </w:p>
    <w:p w:rsidR="009C732C">
      <w:pPr>
        <w:spacing w:line="360" w:lineRule="auto"/>
        <w:ind w:firstLine="480"/>
        <w:rPr>
          <w:rFonts w:ascii="宋体" w:cs="宋体"/>
          <w:sz w:val="24"/>
          <w:szCs w:val="24"/>
          <w:lang w:eastAsia="zh-CN"/>
        </w:rPr>
      </w:pPr>
      <w:r>
        <w:rPr>
          <w:rFonts w:ascii="宋体" w:cs="宋体" w:hint="eastAsia"/>
          <w:sz w:val="24"/>
          <w:szCs w:val="24"/>
          <w:lang w:eastAsia="zh-CN"/>
        </w:rPr>
        <w:t>（2）二级市场方式：在二级市场进行目标ETF基金份额的交易。</w:t>
      </w:r>
    </w:p>
    <w:p w:rsidR="009C732C">
      <w:pPr>
        <w:spacing w:line="360" w:lineRule="auto"/>
        <w:ind w:firstLine="480"/>
        <w:rPr>
          <w:rFonts w:ascii="宋体" w:cs="宋体"/>
          <w:sz w:val="24"/>
          <w:szCs w:val="24"/>
          <w:lang w:eastAsia="zh-CN"/>
        </w:rPr>
      </w:pPr>
      <w:r>
        <w:rPr>
          <w:rFonts w:ascii="宋体" w:cs="宋体" w:hint="eastAsia"/>
          <w:sz w:val="24"/>
          <w:szCs w:val="24"/>
          <w:lang w:eastAsia="zh-CN"/>
        </w:rPr>
        <w:t>当目标ETF申购、赎回或交易模式进行了变更或调整，在履行适当程序后，本基金也将作相应的变更或调整。</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本基金将在综合考虑合规、风险、效率、成本等因素的基础上，决定采用申购、赎回方式或二级市场方式进行目标ETF的投资。</w:t>
      </w:r>
    </w:p>
    <w:p w:rsidR="009C732C">
      <w:pPr>
        <w:spacing w:line="360" w:lineRule="auto"/>
        <w:ind w:firstLine="480"/>
        <w:rPr>
          <w:rFonts w:ascii="宋体" w:cs="宋体"/>
          <w:sz w:val="24"/>
          <w:szCs w:val="24"/>
          <w:lang w:eastAsia="zh-CN"/>
        </w:rPr>
      </w:pPr>
      <w:r>
        <w:rPr>
          <w:rFonts w:ascii="宋体" w:cs="宋体" w:hint="eastAsia"/>
          <w:sz w:val="24"/>
          <w:szCs w:val="24"/>
          <w:lang w:eastAsia="zh-CN"/>
        </w:rPr>
        <w:t>2、股票（含存托凭证）投资策略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9C732C">
      <w:pPr>
        <w:spacing w:line="360" w:lineRule="auto"/>
        <w:ind w:firstLine="480"/>
        <w:rPr>
          <w:rFonts w:ascii="宋体" w:cs="宋体"/>
          <w:sz w:val="24"/>
          <w:szCs w:val="24"/>
          <w:lang w:eastAsia="zh-CN"/>
        </w:rPr>
      </w:pPr>
      <w:r>
        <w:rPr>
          <w:rFonts w:ascii="宋体" w:cs="宋体" w:hint="eastAsia"/>
          <w:sz w:val="24"/>
          <w:szCs w:val="24"/>
          <w:lang w:eastAsia="zh-CN"/>
        </w:rPr>
        <w:t>3、债券和货币市场工具投资策略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本基金将以降低跟踪误差和流动性管理为目的，综合考虑流动性和收益性，适当参与债券和货币市场工具的投资。</w:t>
      </w:r>
    </w:p>
    <w:p w:rsidR="009C732C">
      <w:pPr>
        <w:spacing w:line="360" w:lineRule="auto"/>
        <w:ind w:firstLine="480"/>
        <w:rPr>
          <w:rFonts w:ascii="宋体" w:cs="宋体"/>
          <w:sz w:val="24"/>
          <w:szCs w:val="24"/>
          <w:lang w:eastAsia="zh-CN"/>
        </w:rPr>
      </w:pPr>
      <w:r>
        <w:rPr>
          <w:rFonts w:ascii="宋体" w:cs="宋体" w:hint="eastAsia"/>
          <w:sz w:val="24"/>
          <w:szCs w:val="24"/>
          <w:lang w:eastAsia="zh-CN"/>
        </w:rPr>
        <w:t>4、衍生品投资策略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为更好地实现投资目标，本基金可投资股指期货、国债期货、股票期权。</w:t>
      </w:r>
    </w:p>
    <w:p w:rsidR="009C732C">
      <w:pPr>
        <w:spacing w:line="360" w:lineRule="auto"/>
        <w:ind w:firstLine="480"/>
        <w:rPr>
          <w:rFonts w:ascii="宋体" w:cs="宋体"/>
          <w:sz w:val="24"/>
          <w:szCs w:val="24"/>
          <w:lang w:eastAsia="zh-CN"/>
        </w:rPr>
      </w:pPr>
      <w:r>
        <w:rPr>
          <w:rFonts w:ascii="宋体" w:cs="宋体" w:hint="eastAsia"/>
          <w:sz w:val="24"/>
          <w:szCs w:val="24"/>
          <w:lang w:eastAsia="zh-CN"/>
        </w:rPr>
        <w:t>若本基金投资股指期货、国债期货，将根据风险管理的原则，以套期保值为目的，综合考虑流动性、基差水平等因素。</w:t>
      </w:r>
    </w:p>
    <w:p w:rsidR="009C732C">
      <w:pPr>
        <w:spacing w:line="360" w:lineRule="auto"/>
        <w:ind w:firstLine="480"/>
        <w:rPr>
          <w:rFonts w:ascii="宋体" w:cs="宋体"/>
          <w:sz w:val="24"/>
          <w:szCs w:val="24"/>
          <w:lang w:eastAsia="zh-CN"/>
        </w:rPr>
      </w:pPr>
      <w:r>
        <w:rPr>
          <w:rFonts w:ascii="宋体" w:cs="宋体" w:hint="eastAsia"/>
          <w:sz w:val="24"/>
          <w:szCs w:val="24"/>
          <w:lang w:eastAsia="zh-CN"/>
        </w:rPr>
        <w:t>若本基金投资股票期权，将根据风险管理的原则，以套期保值为主要目的，综合考虑流动性、价格等因素。</w:t>
      </w:r>
    </w:p>
    <w:p w:rsidR="009C732C">
      <w:pPr>
        <w:spacing w:line="360" w:lineRule="auto"/>
        <w:ind w:firstLine="480"/>
        <w:rPr>
          <w:rFonts w:ascii="宋体" w:cs="宋体"/>
          <w:sz w:val="24"/>
          <w:szCs w:val="24"/>
          <w:lang w:eastAsia="zh-CN"/>
        </w:rPr>
      </w:pPr>
      <w:r>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9C732C">
      <w:pPr>
        <w:spacing w:line="360" w:lineRule="auto"/>
        <w:ind w:firstLine="480"/>
        <w:rPr>
          <w:rFonts w:ascii="宋体" w:cs="宋体"/>
          <w:sz w:val="24"/>
          <w:szCs w:val="24"/>
          <w:lang w:eastAsia="zh-CN"/>
        </w:rPr>
      </w:pPr>
      <w:r>
        <w:rPr>
          <w:rFonts w:ascii="宋体" w:cs="宋体" w:hint="eastAsia"/>
          <w:sz w:val="24"/>
          <w:szCs w:val="24"/>
          <w:lang w:eastAsia="zh-CN"/>
        </w:rPr>
        <w:t>5、参与转融通证券出借业务策略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9C732C">
      <w:pPr>
        <w:spacing w:line="360" w:lineRule="auto"/>
        <w:ind w:firstLine="480"/>
        <w:rPr>
          <w:rFonts w:ascii="宋体" w:cs="宋体"/>
          <w:sz w:val="24"/>
          <w:szCs w:val="24"/>
          <w:lang w:eastAsia="zh-CN"/>
        </w:rPr>
      </w:pPr>
      <w:r>
        <w:rPr>
          <w:rFonts w:ascii="宋体" w:cs="宋体" w:hint="eastAsia"/>
          <w:sz w:val="24"/>
          <w:szCs w:val="24"/>
          <w:lang w:eastAsia="zh-CN"/>
        </w:rPr>
        <w:t>6、融资业务策略</w:t>
      </w:r>
    </w:p>
    <w:p w:rsidR="009C732C">
      <w:pPr>
        <w:spacing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四、投资限制</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1、组合限制</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基金的投资组合应遵循以下限制：</w:t>
      </w:r>
    </w:p>
    <w:p w:rsidR="009C732C">
      <w:pPr>
        <w:widowControl/>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sz w:val="24"/>
          <w:szCs w:val="24"/>
          <w:lang w:eastAsia="zh-CN"/>
        </w:rPr>
        <w:t>本基金投资于目标ETF的资产不低于基金资产净值的90%</w:t>
      </w:r>
      <w:r>
        <w:rPr>
          <w:rFonts w:ascii="宋体" w:cs="宋体"/>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sz w:val="24"/>
          <w:szCs w:val="24"/>
          <w:highlight w:val="white"/>
          <w:lang w:eastAsia="zh-CN"/>
        </w:rPr>
        <w:t>保持不低于基金资产净值</w:t>
      </w:r>
      <w:r>
        <w:rPr>
          <w:rFonts w:ascii="宋体" w:cs="宋体"/>
          <w:sz w:val="24"/>
          <w:szCs w:val="24"/>
          <w:highlight w:val="white"/>
          <w:lang w:eastAsia="zh-CN"/>
        </w:rPr>
        <w:t>5</w:t>
      </w:r>
      <w:r>
        <w:rPr>
          <w:rFonts w:ascii="宋体" w:cs="宋体" w:hint="eastAsia"/>
          <w:sz w:val="24"/>
          <w:szCs w:val="24"/>
          <w:highlight w:val="white"/>
          <w:lang w:eastAsia="zh-CN"/>
        </w:rPr>
        <w:t>%的现金或者到期日在一年以内的政府债券，其中现金不包括结算备付金、存出保证金和应收申购款等；</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（3）本基金投资于同一原始权益人的各类资产支持证券的比例，不得超过基金资产净值的10%；</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（4）本基金持有的全部资产支持证券，其市值不得超过基金资产净值的20%；</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（5）本基金持有的同一(指同一信用级别)资产支持证券的比例，不得超过该资产支持证券规模的10%；</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（6）本基金管理人管理的全部基金投资于同一原始权益人的各类资产支持证券，不得超过其各类资产支持证券合计规模的10%；</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（8）基金财产参与股票发行申购，本基金所申报的金额不超过本基金的总资产，本基金所申报的股票数量不超过拟发行股票公司本次发行股票的总量；</w:t>
      </w:r>
    </w:p>
    <w:p w:rsidR="009C732C">
      <w:pPr>
        <w:spacing w:line="360" w:lineRule="auto"/>
        <w:ind w:firstLine="480"/>
        <w:rPr>
          <w:rFonts w:ascii="宋体"/>
          <w:bCs/>
          <w:sz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hint="eastAsia"/>
          <w:bCs/>
          <w:sz w:val="24"/>
          <w:highlight w:val="white"/>
          <w:lang w:eastAsia="zh-CN"/>
        </w:rPr>
        <w:t>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）本基金参与国债期货交易的，</w:t>
      </w:r>
      <w:r>
        <w:rPr>
          <w:rFonts w:ascii="宋体" w:hint="eastAsia"/>
          <w:bCs/>
          <w:sz w:val="24"/>
          <w:highlight w:val="white"/>
          <w:lang w:eastAsia="zh-CN"/>
        </w:rPr>
        <w:t>应当符合下列要求</w:t>
      </w:r>
      <w:r>
        <w:rPr>
          <w:rFonts w:ascii="宋体" w:cs="宋体" w:hint="eastAsia"/>
          <w:bCs/>
          <w:sz w:val="24"/>
          <w:szCs w:val="24"/>
          <w:highlight w:val="white"/>
          <w:lang w:eastAsia="zh-CN"/>
        </w:rPr>
        <w:t>：在任何交易日日终，本基金持有的买入国债期货合约价值，不得超过基金资产净值的</w:t>
      </w:r>
      <w:r>
        <w:rPr>
          <w:rFonts w:ascii="宋体" w:cs="宋体"/>
          <w:bCs/>
          <w:sz w:val="24"/>
          <w:szCs w:val="24"/>
          <w:highlight w:val="white"/>
          <w:lang w:eastAsia="zh-CN"/>
        </w:rPr>
        <w:t>15%</w:t>
      </w:r>
      <w:r>
        <w:rPr>
          <w:rFonts w:ascii="宋体" w:cs="宋体" w:hint="eastAsia"/>
          <w:bCs/>
          <w:sz w:val="24"/>
          <w:szCs w:val="24"/>
          <w:highlight w:val="white"/>
          <w:lang w:eastAsia="zh-CN"/>
        </w:rPr>
        <w:t>；本基金在任何交易日日终，持有的卖出国债期货合约价值不得超过基金持有的债券总市值的</w:t>
      </w:r>
      <w:r>
        <w:rPr>
          <w:rFonts w:ascii="宋体" w:cs="宋体"/>
          <w:bCs/>
          <w:sz w:val="24"/>
          <w:szCs w:val="24"/>
          <w:highlight w:val="white"/>
          <w:lang w:eastAsia="zh-CN"/>
        </w:rPr>
        <w:t>30%</w:t>
      </w:r>
      <w:r>
        <w:rPr>
          <w:rFonts w:asci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cs="宋体"/>
          <w:bCs/>
          <w:sz w:val="24"/>
          <w:szCs w:val="24"/>
          <w:highlight w:val="white"/>
          <w:lang w:eastAsia="zh-CN"/>
        </w:rPr>
        <w:t>30%</w:t>
      </w:r>
      <w:r>
        <w:rPr>
          <w:rFonts w:asci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cs="宋体"/>
          <w:bCs/>
          <w:sz w:val="24"/>
          <w:szCs w:val="24"/>
          <w:highlight w:val="white"/>
          <w:lang w:eastAsia="zh-CN"/>
        </w:rPr>
        <w:t>10%</w:t>
      </w:r>
      <w:r>
        <w:rPr>
          <w:rFonts w:asci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cs="宋体"/>
          <w:bCs/>
          <w:sz w:val="24"/>
          <w:szCs w:val="24"/>
          <w:highlight w:val="white"/>
          <w:lang w:eastAsia="zh-CN"/>
        </w:rPr>
        <w:t>20%</w:t>
      </w:r>
      <w:r>
        <w:rPr>
          <w:rFonts w:ascii="宋体" w:cs="宋体" w:hint="eastAsia"/>
          <w:bCs/>
          <w:sz w:val="24"/>
          <w:szCs w:val="24"/>
          <w:highlight w:val="white"/>
          <w:lang w:eastAsia="zh-CN"/>
        </w:rPr>
        <w:t>。其中，合约面值按照行权价乘以合约乘数计算；</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12</w:t>
      </w:r>
      <w:r>
        <w:rPr>
          <w:rFonts w:asci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cs="宋体"/>
          <w:bCs/>
          <w:sz w:val="24"/>
          <w:szCs w:val="24"/>
          <w:highlight w:val="white"/>
          <w:lang w:eastAsia="zh-CN"/>
        </w:rPr>
        <w:t>95%</w:t>
      </w:r>
      <w:r>
        <w:rPr>
          <w:rFonts w:ascii="宋体" w:cs="宋体" w:hint="eastAsia"/>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（13）本基金参与转融通证券出借业务的，应当符合下列要求：</w:t>
      </w:r>
      <w:r>
        <w:rPr>
          <w:rFonts w:ascii="宋体" w:hAnsi="宋体" w:cs="宋体"/>
          <w:bCs/>
          <w:sz w:val="24"/>
          <w:szCs w:val="24"/>
          <w:highlight w:val="white"/>
          <w:lang w:eastAsia="zh-CN"/>
        </w:rPr>
        <w:t>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r>
        <w:rPr>
          <w:rFonts w:ascii="宋体" w:cs="宋体"/>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（16）本基金资产总值不超过基金资产净值的140%；</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w:t>
      </w:r>
      <w:r>
        <w:rPr>
          <w:rFonts w:ascii="宋体" w:cs="宋体" w:hint="eastAsia"/>
          <w:bCs/>
          <w:sz w:val="24"/>
          <w:szCs w:val="24"/>
          <w:highlight w:val="white"/>
          <w:lang w:eastAsia="zh-CN"/>
        </w:rPr>
        <w:t>1</w:t>
      </w:r>
      <w:r>
        <w:rPr>
          <w:rFonts w:ascii="宋体" w:cs="宋体"/>
          <w:bCs/>
          <w:sz w:val="24"/>
          <w:szCs w:val="24"/>
          <w:highlight w:val="white"/>
          <w:lang w:eastAsia="zh-CN"/>
        </w:rPr>
        <w:t>7</w:t>
      </w:r>
      <w:r>
        <w:rPr>
          <w:rFonts w:ascii="宋体" w:cs="宋体" w:hint="eastAsia"/>
          <w:bCs/>
          <w:sz w:val="24"/>
          <w:szCs w:val="24"/>
          <w:highlight w:val="white"/>
          <w:lang w:eastAsia="zh-CN"/>
        </w:rPr>
        <w:t>）本基金投资存托凭证的比例限制依照境内上市交易的股票执行，与境内上市交易的股票合并计算；</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（1</w:t>
      </w:r>
      <w:r>
        <w:rPr>
          <w:rFonts w:ascii="宋体" w:cs="宋体"/>
          <w:bCs/>
          <w:sz w:val="24"/>
          <w:szCs w:val="24"/>
          <w:highlight w:val="white"/>
          <w:lang w:eastAsia="zh-CN"/>
        </w:rPr>
        <w:t>8</w:t>
      </w:r>
      <w:r>
        <w:rPr>
          <w:rFonts w:ascii="宋体" w:cs="宋体" w:hint="eastAsia"/>
          <w:bCs/>
          <w:sz w:val="24"/>
          <w:szCs w:val="24"/>
          <w:highlight w:val="white"/>
          <w:lang w:eastAsia="zh-CN"/>
        </w:rPr>
        <w:t>）法律法规及中国证监会规定的和《基金合同》约定的其他投资限制。</w:t>
      </w:r>
    </w:p>
    <w:p w:rsidR="009C732C">
      <w:pPr>
        <w:spacing w:line="360" w:lineRule="auto"/>
        <w:ind w:firstLine="480"/>
        <w:rPr>
          <w:rFonts w:ascii="宋体" w:cs="宋体"/>
          <w:sz w:val="24"/>
          <w:szCs w:val="24"/>
          <w:lang w:eastAsia="zh-CN"/>
        </w:rPr>
      </w:pPr>
      <w:bookmarkStart w:id="311" w:name="_Hlk71642781"/>
      <w:r>
        <w:rPr>
          <w:rFonts w:ascii="宋体"/>
          <w:bCs/>
          <w:sz w:val="24"/>
          <w:highlight w:val="white"/>
          <w:lang w:eastAsia="zh-CN"/>
        </w:rPr>
        <w:t>因证券/期货市场波动、证券发行人合并、基金规模变动、标的指数成份股调整、流动性限制、</w:t>
      </w:r>
      <w:r>
        <w:rPr>
          <w:rFonts w:ascii="宋体" w:hint="eastAsia"/>
          <w:bCs/>
          <w:sz w:val="24"/>
          <w:highlight w:val="white"/>
          <w:lang w:eastAsia="zh-CN"/>
        </w:rPr>
        <w:t>目标ETF暂停申购、赎回或二级市场交易停牌</w:t>
      </w:r>
      <w:r>
        <w:rPr>
          <w:rFonts w:ascii="宋体" w:hint="eastAsia"/>
          <w:sz w:val="24"/>
          <w:highlight w:val="white"/>
          <w:lang w:eastAsia="zh-CN"/>
        </w:rPr>
        <w:t>等基金管理人之外的因素致使基金投资比例不符合上述第（1）项规定投资比例的，基金管理人应当在20个交易日内进行调整；</w:t>
      </w:r>
      <w:bookmarkEnd w:id="311"/>
      <w:r>
        <w:rPr>
          <w:rFonts w:ascii="宋体"/>
          <w:sz w:val="24"/>
          <w:highlight w:val="white"/>
          <w:lang w:eastAsia="zh-CN"/>
        </w:rPr>
        <w:t>除上述</w:t>
      </w:r>
      <w:r>
        <w:rPr>
          <w:rFonts w:ascii="宋体" w:hint="eastAsia"/>
          <w:sz w:val="24"/>
          <w:highlight w:val="white"/>
          <w:lang w:eastAsia="zh-CN"/>
        </w:rPr>
        <w:t>（1）、</w:t>
      </w:r>
      <w:r>
        <w:rPr>
          <w:rFonts w:ascii="宋体"/>
          <w:sz w:val="24"/>
          <w:highlight w:val="white"/>
          <w:lang w:eastAsia="zh-CN"/>
        </w:rPr>
        <w:t>（2）、（7）、（8）、（</w:t>
      </w:r>
      <w:r>
        <w:rPr>
          <w:rFonts w:ascii="宋体" w:hint="eastAsia"/>
          <w:sz w:val="24"/>
          <w:highlight w:val="white"/>
          <w:lang w:eastAsia="zh-CN"/>
        </w:rPr>
        <w:t>1</w:t>
      </w:r>
      <w:r>
        <w:rPr>
          <w:rFonts w:ascii="宋体"/>
          <w:sz w:val="24"/>
          <w:highlight w:val="white"/>
          <w:lang w:eastAsia="zh-CN"/>
        </w:rPr>
        <w:t>3）、（</w:t>
      </w:r>
      <w:r>
        <w:rPr>
          <w:rFonts w:ascii="宋体" w:hint="eastAsia"/>
          <w:sz w:val="24"/>
          <w:highlight w:val="white"/>
          <w:lang w:eastAsia="zh-CN"/>
        </w:rPr>
        <w:t>1</w:t>
      </w:r>
      <w:r>
        <w:rPr>
          <w:rFonts w:ascii="宋体"/>
          <w:sz w:val="24"/>
          <w:highlight w:val="white"/>
          <w:lang w:eastAsia="zh-CN"/>
        </w:rPr>
        <w:t>4）、（15）情形之外，</w:t>
      </w:r>
      <w:r>
        <w:rPr>
          <w:rFonts w:ascii="宋体" w:hint="eastAsia"/>
          <w:bCs/>
          <w:sz w:val="24"/>
          <w:highlight w:val="white"/>
          <w:lang w:eastAsia="zh-CN"/>
        </w:rPr>
        <w:t>因证券/期货市场波动、证券发行人合并</w:t>
      </w:r>
      <w:r>
        <w:rPr>
          <w:rFonts w:ascii="宋体"/>
          <w:bCs/>
          <w:sz w:val="24"/>
          <w:highlight w:val="white"/>
          <w:lang w:eastAsia="zh-CN"/>
        </w:rPr>
        <w:t>、基金规模变动</w:t>
      </w:r>
      <w:r>
        <w:rPr>
          <w:rFonts w:ascii="宋体" w:hint="eastAsia"/>
          <w:bCs/>
          <w:sz w:val="24"/>
          <w:highlight w:val="white"/>
          <w:lang w:eastAsia="zh-CN"/>
        </w:rPr>
        <w:t>、标的指数成份股调整、流动性限制</w:t>
      </w:r>
      <w:r>
        <w:rPr>
          <w:rFonts w:ascii="宋体"/>
          <w:bCs/>
          <w:sz w:val="24"/>
          <w:highlight w:val="white"/>
          <w:lang w:eastAsia="zh-CN"/>
        </w:rPr>
        <w:t>、</w:t>
      </w:r>
      <w:r>
        <w:rPr>
          <w:rFonts w:ascii="宋体" w:hint="eastAsia"/>
          <w:bCs/>
          <w:sz w:val="24"/>
          <w:highlight w:val="white"/>
          <w:lang w:eastAsia="zh-CN"/>
        </w:rPr>
        <w:t>目标ETF暂停申购、赎回或二级市场交易停牌</w:t>
      </w:r>
      <w:r>
        <w:rPr>
          <w:rFonts w:ascii="宋体"/>
          <w:bCs/>
          <w:sz w:val="24"/>
          <w:highlight w:val="white"/>
          <w:lang w:eastAsia="zh-CN"/>
        </w:rPr>
        <w:t>等基金管理人之外的因素致使基金投资比例不符合上述规定投资比例的，基金管理人应当在10个交易日内进行调整</w:t>
      </w:r>
      <w:r>
        <w:rPr>
          <w:rFonts w:ascii="宋体" w:hint="eastAsia"/>
          <w:bCs/>
          <w:sz w:val="24"/>
          <w:highlight w:val="white"/>
          <w:lang w:eastAsia="zh-CN"/>
        </w:rPr>
        <w:t>，</w:t>
      </w:r>
      <w:r>
        <w:rPr>
          <w:rFonts w:ascii="宋体"/>
          <w:bCs/>
          <w:sz w:val="24"/>
          <w:highlight w:val="white"/>
          <w:lang w:eastAsia="zh-CN"/>
        </w:rPr>
        <w:t>但中国证监会规定的特殊情形除外。</w:t>
      </w:r>
      <w:r>
        <w:rPr>
          <w:rFonts w:ascii="宋体" w:hint="eastAsia"/>
          <w:bCs/>
          <w:sz w:val="24"/>
          <w:highlight w:val="white"/>
          <w:lang w:eastAsia="zh-CN"/>
        </w:rPr>
        <w:t>因证券/期货市场波动、证券发行人合并、基金规模变动等基金管理人之外的因素致使基金投资不符合第（1</w:t>
      </w:r>
      <w:r>
        <w:rPr>
          <w:rFonts w:ascii="宋体"/>
          <w:bCs/>
          <w:sz w:val="24"/>
          <w:highlight w:val="white"/>
          <w:lang w:eastAsia="zh-CN"/>
        </w:rPr>
        <w:t>3</w:t>
      </w:r>
      <w:r>
        <w:rPr>
          <w:rFonts w:ascii="宋体" w:hint="eastAsia"/>
          <w:bCs/>
          <w:sz w:val="24"/>
          <w:highlight w:val="white"/>
          <w:lang w:eastAsia="zh-CN"/>
        </w:rPr>
        <w:t>）项规定的，基金管理人不得新增出借业务。法律法规或监管部门另有规定的，届时按最新规定执行。</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基金管理人应当自基金合同生效之日起</w:t>
      </w:r>
      <w:r>
        <w:rPr>
          <w:rFonts w:ascii="宋体" w:cs="宋体"/>
          <w:bCs/>
          <w:sz w:val="24"/>
          <w:szCs w:val="24"/>
          <w:highlight w:val="white"/>
          <w:lang w:eastAsia="zh-CN"/>
        </w:rPr>
        <w:t>6</w:t>
      </w:r>
      <w:r>
        <w:rPr>
          <w:rFonts w:ascii="宋体" w:cs="宋体" w:hint="eastAsia"/>
          <w:bCs/>
          <w:sz w:val="24"/>
          <w:szCs w:val="24"/>
          <w:highlight w:val="white"/>
          <w:lang w:eastAsia="zh-CN"/>
        </w:rPr>
        <w:t>个月内使基金的投资组合比例符合基金合同的有关约定。</w:t>
      </w:r>
      <w:r>
        <w:rPr>
          <w:rFonts w:ascii="宋体" w:cs="宋体"/>
          <w:bCs/>
          <w:sz w:val="24"/>
          <w:szCs w:val="24"/>
          <w:highlight w:val="white"/>
          <w:lang w:eastAsia="zh-CN"/>
        </w:rPr>
        <w:t>在上述期间内，本基金的投资范围</w:t>
      </w:r>
      <w:r>
        <w:rPr>
          <w:rFonts w:ascii="宋体" w:cs="宋体" w:hint="eastAsia"/>
          <w:bCs/>
          <w:sz w:val="24"/>
          <w:szCs w:val="24"/>
          <w:highlight w:val="white"/>
          <w:lang w:eastAsia="zh-CN"/>
        </w:rPr>
        <w:t>、投资策略应当符合基金合同的约定。基金托管人对基金的投资的监督与检查自本基金合同生效之日起开始。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2、禁止行为</w:t>
      </w:r>
    </w:p>
    <w:p w:rsidR="009C732C">
      <w:pPr>
        <w:spacing w:line="360" w:lineRule="auto"/>
        <w:ind w:firstLine="460"/>
        <w:rPr>
          <w:rFonts w:ascii="宋体" w:cs="宋体"/>
          <w:sz w:val="24"/>
          <w:szCs w:val="24"/>
          <w:lang w:eastAsia="zh-CN"/>
        </w:rPr>
      </w:pPr>
      <w:r>
        <w:rPr>
          <w:rFonts w:ascii="宋体" w:cs="宋体"/>
          <w:sz w:val="24"/>
          <w:szCs w:val="24"/>
          <w:highlight w:val="white"/>
          <w:lang w:eastAsia="zh-CN"/>
        </w:rPr>
        <w:t>为维护基金份额持有人的合法权益，基金财产不得用于下列投资或者活动：</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）承销证券；</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）违反规定向他人贷款或者提供担保；</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）从事承担无限责任的投资；</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）向其基金管理人、基金托管人出资；</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）从事内幕交易、操纵证券交易价格及其他不正当的证券交易活动；</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）法律、行政法规和中国证监会规定禁止的其他活动。</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highlight w:val="white"/>
          <w:lang w:eastAsia="zh-CN"/>
        </w:rPr>
        <w:t>遵循基金份额持有人利益优先原则</w:t>
      </w:r>
      <w:r>
        <w:rPr>
          <w:rFonts w:asci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五、业绩比较基准</w:t>
      </w:r>
    </w:p>
    <w:p w:rsidR="009C732C">
      <w:pPr>
        <w:widowControl/>
        <w:spacing w:line="360" w:lineRule="auto"/>
        <w:ind w:firstLine="480"/>
        <w:rPr>
          <w:rFonts w:ascii="宋体" w:cs="宋体"/>
          <w:sz w:val="24"/>
          <w:szCs w:val="24"/>
          <w:lang w:eastAsia="zh-CN"/>
        </w:rPr>
      </w:pPr>
      <w:r>
        <w:rPr>
          <w:rFonts w:ascii="宋体" w:cs="宋体"/>
          <w:sz w:val="24"/>
          <w:szCs w:val="24"/>
          <w:lang w:eastAsia="zh-CN"/>
        </w:rPr>
        <w:t>国证机器人产业指数收益率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p>
    <w:p w:rsidR="009C732C">
      <w:pPr>
        <w:spacing w:line="360" w:lineRule="auto"/>
        <w:ind w:firstLine="480"/>
        <w:rPr>
          <w:rFonts w:ascii="宋体" w:cs="宋体"/>
          <w:bCs/>
          <w:sz w:val="24"/>
          <w:szCs w:val="24"/>
          <w:lang w:eastAsia="zh-CN"/>
        </w:rPr>
      </w:pPr>
      <w:r>
        <w:rPr>
          <w:rFonts w:ascii="宋体" w:cs="宋体"/>
          <w:sz w:val="24"/>
          <w:szCs w:val="24"/>
          <w:lang w:eastAsia="zh-CN"/>
        </w:rPr>
        <w:t>本基金以</w:t>
      </w:r>
      <w:r>
        <w:rPr>
          <w:rFonts w:ascii="宋体" w:cs="宋体"/>
          <w:sz w:val="24"/>
          <w:szCs w:val="24"/>
          <w:lang w:eastAsia="zh-CN"/>
        </w:rPr>
        <w:t>“</w:t>
      </w:r>
      <w:r>
        <w:rPr>
          <w:rFonts w:ascii="宋体" w:cs="宋体"/>
          <w:sz w:val="24"/>
          <w:szCs w:val="24"/>
          <w:lang w:eastAsia="zh-CN"/>
        </w:rPr>
        <w:t>紧密跟踪业绩比较基准，追求跟踪偏离度和跟踪误差的最小化</w:t>
      </w:r>
      <w:r>
        <w:rPr>
          <w:rFonts w:ascii="宋体" w:cs="宋体"/>
          <w:sz w:val="24"/>
          <w:szCs w:val="24"/>
          <w:lang w:eastAsia="zh-CN"/>
        </w:rPr>
        <w:t>”</w:t>
      </w:r>
      <w:r>
        <w:rPr>
          <w:rFonts w:ascii="宋体" w:cs="宋体"/>
          <w:sz w:val="24"/>
          <w:szCs w:val="24"/>
          <w:lang w:eastAsia="zh-CN"/>
        </w:rPr>
        <w:t>作为投资目标，在投资中将不低于基金资产净值90%的资产投资于目标ETF并保留不低于基金资产净值5%的现金或者到期日在一年以内的政府债券，因此选取</w:t>
      </w:r>
      <w:r>
        <w:rPr>
          <w:rFonts w:ascii="宋体" w:cs="宋体"/>
          <w:sz w:val="24"/>
          <w:szCs w:val="24"/>
          <w:lang w:eastAsia="zh-CN"/>
        </w:rPr>
        <w:t>“</w:t>
      </w:r>
      <w:r>
        <w:rPr>
          <w:rFonts w:ascii="宋体" w:cs="宋体"/>
          <w:sz w:val="24"/>
          <w:szCs w:val="24"/>
          <w:lang w:eastAsia="zh-CN"/>
        </w:rPr>
        <w:t>国证机器人产业指数收益率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r>
        <w:rPr>
          <w:rFonts w:ascii="宋体" w:cs="宋体"/>
          <w:sz w:val="24"/>
          <w:szCs w:val="24"/>
          <w:lang w:eastAsia="zh-CN"/>
        </w:rPr>
        <w:t>”</w:t>
      </w:r>
      <w:r>
        <w:rPr>
          <w:rFonts w:ascii="宋体" w:cs="宋体"/>
          <w:sz w:val="24"/>
          <w:szCs w:val="24"/>
          <w:lang w:eastAsia="zh-CN"/>
        </w:rPr>
        <w:t>作为业绩比较基准，能够比较真实、客观地反映本基金的风险收益特征。</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未来若出现标的指数不符合</w:t>
      </w:r>
      <w:r>
        <w:rPr>
          <w:rFonts w:ascii="宋体" w:cs="宋体"/>
          <w:color w:val="000000"/>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法律法规或监管机构另有规定的，从其规定</w:t>
      </w:r>
      <w:r>
        <w:rPr>
          <w:rFonts w:ascii="宋体" w:cs="宋体"/>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六、风险收益特征</w:t>
      </w:r>
    </w:p>
    <w:p w:rsidR="009C732C">
      <w:pPr>
        <w:spacing w:line="360" w:lineRule="auto"/>
        <w:ind w:firstLine="480"/>
        <w:rPr>
          <w:rFonts w:ascii="宋体" w:cs="宋体"/>
          <w:sz w:val="24"/>
          <w:szCs w:val="24"/>
          <w:lang w:eastAsia="zh-CN"/>
        </w:rPr>
      </w:pPr>
      <w:r>
        <w:rPr>
          <w:rFonts w:ascii="宋体" w:cs="宋体"/>
          <w:sz w:val="24"/>
          <w:szCs w:val="24"/>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9C732C">
      <w:pPr>
        <w:spacing w:line="360" w:lineRule="auto"/>
        <w:ind w:firstLine="480"/>
        <w:rPr>
          <w:rFonts w:ascii="宋体"/>
          <w:bCs/>
          <w:sz w:val="24"/>
          <w:lang w:eastAsia="zh-CN"/>
        </w:rPr>
      </w:pPr>
      <w:r>
        <w:rPr>
          <w:rFonts w:ascii="宋体" w:hint="eastAsia"/>
          <w:bCs/>
          <w:sz w:val="24"/>
          <w:highlight w:val="white"/>
          <w:lang w:eastAsia="zh-CN"/>
        </w:rPr>
        <w:t>七、目标ETF发生相关变更情形的处理方式</w:t>
      </w:r>
    </w:p>
    <w:p w:rsidR="009C732C">
      <w:pPr>
        <w:spacing w:line="360" w:lineRule="auto"/>
        <w:ind w:firstLine="480"/>
        <w:rPr>
          <w:rFonts w:ascii="宋体"/>
          <w:bCs/>
          <w:sz w:val="24"/>
          <w:lang w:eastAsia="zh-CN"/>
        </w:rPr>
      </w:pPr>
      <w:r>
        <w:rPr>
          <w:rFonts w:ascii="宋体" w:hint="eastAsia"/>
          <w:bCs/>
          <w:sz w:val="24"/>
          <w:highlight w:val="white"/>
          <w:lang w:eastAsia="zh-CN"/>
        </w:rPr>
        <w:t>目标ETF出现下述情形之一的，本基金将由投资于目标ETF的联接基金变更为直接投资该标的指数的指数基金，无需召开基金份额持有人大会。相应地，本基金基金合同中将删除关于目标ETF的表述部分，届时将由基金管理人另行公告。</w:t>
      </w:r>
    </w:p>
    <w:p w:rsidR="009C732C">
      <w:pPr>
        <w:spacing w:line="360" w:lineRule="auto"/>
        <w:ind w:firstLine="480"/>
        <w:rPr>
          <w:rFonts w:ascii="宋体"/>
          <w:bCs/>
          <w:sz w:val="24"/>
          <w:lang w:eastAsia="zh-CN"/>
        </w:rPr>
      </w:pPr>
      <w:r>
        <w:rPr>
          <w:rFonts w:ascii="宋体" w:hint="eastAsia"/>
          <w:bCs/>
          <w:sz w:val="24"/>
          <w:highlight w:val="white"/>
          <w:lang w:eastAsia="zh-CN"/>
        </w:rPr>
        <w:t>1、目标ETF交易方式发生重大变更致使本基金的投资策略难以实现；</w:t>
      </w:r>
    </w:p>
    <w:p w:rsidR="009C732C">
      <w:pPr>
        <w:spacing w:line="360" w:lineRule="auto"/>
        <w:ind w:firstLine="480"/>
        <w:rPr>
          <w:rFonts w:ascii="宋体"/>
          <w:bCs/>
          <w:sz w:val="24"/>
          <w:lang w:eastAsia="zh-CN"/>
        </w:rPr>
      </w:pPr>
      <w:r>
        <w:rPr>
          <w:rFonts w:ascii="宋体" w:hint="eastAsia"/>
          <w:bCs/>
          <w:sz w:val="24"/>
          <w:highlight w:val="white"/>
          <w:lang w:eastAsia="zh-CN"/>
        </w:rPr>
        <w:t>2、目标ETF终止上市；</w:t>
      </w:r>
    </w:p>
    <w:p w:rsidR="009C732C">
      <w:pPr>
        <w:spacing w:line="360" w:lineRule="auto"/>
        <w:ind w:firstLine="480"/>
        <w:rPr>
          <w:rFonts w:ascii="宋体"/>
          <w:bCs/>
          <w:sz w:val="24"/>
          <w:lang w:eastAsia="zh-CN"/>
        </w:rPr>
      </w:pPr>
      <w:r>
        <w:rPr>
          <w:rFonts w:ascii="宋体" w:hint="eastAsia"/>
          <w:bCs/>
          <w:sz w:val="24"/>
          <w:highlight w:val="white"/>
          <w:lang w:eastAsia="zh-CN"/>
        </w:rPr>
        <w:t>3、目标ETF基金合同终止；</w:t>
      </w:r>
    </w:p>
    <w:p w:rsidR="009C732C">
      <w:pPr>
        <w:spacing w:line="360" w:lineRule="auto"/>
        <w:ind w:firstLine="480"/>
        <w:rPr>
          <w:rFonts w:ascii="宋体"/>
          <w:bCs/>
          <w:sz w:val="24"/>
          <w:lang w:eastAsia="zh-CN"/>
        </w:rPr>
      </w:pPr>
      <w:r>
        <w:rPr>
          <w:rFonts w:ascii="宋体" w:hint="eastAsia"/>
          <w:bCs/>
          <w:sz w:val="24"/>
          <w:highlight w:val="white"/>
          <w:lang w:eastAsia="zh-CN"/>
        </w:rPr>
        <w:t>4、目标ETF与其他基金进行合并；</w:t>
      </w:r>
    </w:p>
    <w:p w:rsidR="009C732C">
      <w:pPr>
        <w:spacing w:line="360" w:lineRule="auto"/>
        <w:ind w:firstLine="480"/>
        <w:rPr>
          <w:rFonts w:ascii="宋体"/>
          <w:bCs/>
          <w:sz w:val="24"/>
          <w:lang w:eastAsia="zh-CN"/>
        </w:rPr>
      </w:pPr>
      <w:r>
        <w:rPr>
          <w:rFonts w:ascii="宋体" w:hint="eastAsia"/>
          <w:bCs/>
          <w:sz w:val="24"/>
          <w:highlight w:val="white"/>
          <w:lang w:eastAsia="zh-CN"/>
        </w:rPr>
        <w:t>5、目标ETF的基金管理人发生变更；</w:t>
      </w:r>
    </w:p>
    <w:p w:rsidR="009C732C">
      <w:pPr>
        <w:spacing w:line="360" w:lineRule="auto"/>
        <w:ind w:firstLine="480"/>
        <w:rPr>
          <w:rFonts w:ascii="宋体"/>
          <w:bCs/>
          <w:sz w:val="24"/>
          <w:lang w:eastAsia="zh-CN"/>
        </w:rPr>
      </w:pPr>
      <w:r>
        <w:rPr>
          <w:rFonts w:ascii="宋体" w:hint="eastAsia"/>
          <w:bCs/>
          <w:sz w:val="24"/>
          <w:highlight w:val="white"/>
          <w:lang w:eastAsia="zh-CN"/>
        </w:rPr>
        <w:t>6、中国证监会规定的其他情形。</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八、</w:t>
      </w:r>
      <w:r>
        <w:rPr>
          <w:rFonts w:ascii="宋体" w:cs="宋体"/>
          <w:bCs/>
          <w:sz w:val="24"/>
          <w:szCs w:val="24"/>
          <w:highlight w:val="white"/>
          <w:lang w:eastAsia="zh-CN"/>
        </w:rPr>
        <w:t>基金管理人代表基金行使股东或债权人权利的处理原则及方法</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1、基金管理人按照国家有关规定代表基金独立行使股东或债权人权利，保护基金份额持有人的利益； </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2、不谋求对上市公司的控股； </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 xml:space="preserve">3、有利于基金财产的安全与增值； </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4、不通过关联交易为自身、雇员、授权代理人或任何存在利害关系的第三人牟取任何不当利益。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九、侧袋机制的实施和投资运作安排</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9C732C">
      <w:pPr>
        <w:spacing w:line="360" w:lineRule="auto"/>
        <w:ind w:firstLine="480"/>
        <w:rPr>
          <w:rFonts w:ascii="宋体" w:cs="宋体"/>
          <w:sz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9C732C">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312" w:name="_Toc92662704"/>
      <w:bookmarkStart w:id="313" w:name="_Toc93226145"/>
      <w:bookmarkStart w:id="314" w:name="_Toc446339251"/>
      <w:bookmarkStart w:id="315" w:name="_Toc31611"/>
      <w:bookmarkStart w:id="316" w:name="_Toc139991743"/>
      <w:bookmarkStart w:id="317" w:name="_Toc18000"/>
      <w:bookmarkStart w:id="318" w:name="_Toc29561"/>
      <w:bookmarkStart w:id="319" w:name="_Toc141703893"/>
      <w:bookmarkStart w:id="320" w:name="_Toc24474"/>
      <w:bookmarkStart w:id="321" w:name="_Toc20102"/>
      <w:bookmarkStart w:id="322" w:name="_Toc26114"/>
      <w:bookmarkStart w:id="323" w:name="_Toc128310496"/>
      <w:bookmarkStart w:id="324" w:name="_Toc20782"/>
      <w:bookmarkStart w:id="325" w:name="_Toc32030"/>
      <w:bookmarkStart w:id="326" w:name="_Toc6327218"/>
      <w:bookmarkStart w:id="327" w:name="_Toc13819"/>
      <w:bookmarkStart w:id="328" w:name="_Toc21642"/>
      <w:bookmarkStart w:id="329" w:name="_Toc3054"/>
      <w:r>
        <w:rPr>
          <w:rFonts w:cs="宋体" w:hint="eastAsia"/>
          <w:color w:val="auto"/>
          <w:sz w:val="30"/>
          <w:highlight w:val="white"/>
          <w:lang w:eastAsia="zh-CN"/>
        </w:rPr>
        <w:t>第十三部分 基金</w:t>
      </w:r>
      <w:bookmarkEnd w:id="312"/>
      <w:bookmarkEnd w:id="313"/>
      <w:r>
        <w:rPr>
          <w:rFonts w:cs="宋体" w:hint="eastAsia"/>
          <w:color w:val="auto"/>
          <w:sz w:val="30"/>
          <w:highlight w:val="white"/>
          <w:lang w:eastAsia="zh-CN"/>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9C732C">
      <w:pPr>
        <w:spacing w:line="360" w:lineRule="auto"/>
        <w:ind w:firstLine="482"/>
        <w:rPr>
          <w:rFonts w:ascii="宋体" w:cs="宋体"/>
          <w:sz w:val="24"/>
          <w:szCs w:val="24"/>
          <w:lang w:eastAsia="zh-CN"/>
        </w:rPr>
      </w:pP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一、基金资产总值</w:t>
      </w:r>
    </w:p>
    <w:p w:rsidR="009C732C">
      <w:pPr>
        <w:spacing w:line="360" w:lineRule="auto"/>
        <w:ind w:firstLine="482"/>
        <w:rPr>
          <w:rFonts w:ascii="宋体" w:cs="宋体"/>
          <w:bCs/>
          <w:sz w:val="24"/>
          <w:szCs w:val="24"/>
          <w:lang w:eastAsia="zh-CN"/>
        </w:rPr>
      </w:pPr>
      <w:r>
        <w:rPr>
          <w:rFonts w:ascii="宋体" w:cs="宋体"/>
          <w:bCs/>
          <w:sz w:val="24"/>
          <w:szCs w:val="24"/>
          <w:highlight w:val="white"/>
          <w:lang w:eastAsia="zh-CN"/>
        </w:rPr>
        <w:t>基金资产总值是指购买的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bCs/>
          <w:sz w:val="24"/>
          <w:szCs w:val="24"/>
          <w:highlight w:val="white"/>
          <w:lang w:eastAsia="zh-CN"/>
        </w:rPr>
        <w:t>各类证券及票据价值、银行存款本息和基金应收的申购基金款以及其他投资所形成的价值总和。</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二、基金资产净值</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基金资产净值是指基金资产总值减去基金负债后的价值。</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三、基金财产的账户</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基金托管人根据相关法律法规、</w:t>
      </w:r>
      <w:r>
        <w:rPr>
          <w:rFonts w:ascii="宋体" w:cs="宋体"/>
          <w:bCs/>
          <w:sz w:val="24"/>
          <w:szCs w:val="24"/>
          <w:highlight w:val="white"/>
          <w:lang w:eastAsia="zh-CN"/>
        </w:rPr>
        <w:t>规范性文件为本基金开立资金</w:t>
      </w:r>
      <w:r>
        <w:rPr>
          <w:rFonts w:ascii="宋体" w:cs="宋体" w:hint="eastAsia"/>
          <w:bCs/>
          <w:sz w:val="24"/>
          <w:szCs w:val="24"/>
          <w:highlight w:val="white"/>
          <w:lang w:eastAsia="zh-CN"/>
        </w:rPr>
        <w:t>账户</w:t>
      </w:r>
      <w:r>
        <w:rPr>
          <w:rFonts w:asci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四、基金财产的保管和处分</w:t>
      </w:r>
      <w:bookmarkStart w:id="331" w:name="_Hlt88900062"/>
      <w:bookmarkEnd w:id="331"/>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本基金财产独立于基金管理人、</w:t>
      </w:r>
      <w:r>
        <w:rPr>
          <w:rFonts w:ascii="宋体" w:cs="宋体"/>
          <w:bCs/>
          <w:sz w:val="24"/>
          <w:szCs w:val="24"/>
          <w:highlight w:val="white"/>
          <w:lang w:eastAsia="zh-CN"/>
        </w:rPr>
        <w:t>基金托管人和基金</w:t>
      </w:r>
      <w:r>
        <w:rPr>
          <w:rFonts w:ascii="宋体" w:cs="宋体" w:hint="eastAsia"/>
          <w:bCs/>
          <w:sz w:val="24"/>
          <w:szCs w:val="24"/>
          <w:highlight w:val="white"/>
          <w:lang w:eastAsia="zh-CN"/>
        </w:rPr>
        <w:t>销售</w:t>
      </w:r>
      <w:r>
        <w:rPr>
          <w:rFonts w:ascii="宋体" w:cs="宋体"/>
          <w:bCs/>
          <w:sz w:val="24"/>
          <w:szCs w:val="24"/>
          <w:highlight w:val="white"/>
          <w:lang w:eastAsia="zh-CN"/>
        </w:rPr>
        <w:t>机构的财产，并由基金托管人保管。</w:t>
      </w:r>
      <w:r>
        <w:rPr>
          <w:rFonts w:ascii="宋体" w:cs="宋体" w:hint="eastAsia"/>
          <w:bCs/>
          <w:sz w:val="24"/>
          <w:szCs w:val="24"/>
          <w:highlight w:val="white"/>
          <w:lang w:eastAsia="zh-CN"/>
        </w:rPr>
        <w:t>基金管理人、基金托管人不得将基金财产归入其固有财产。</w:t>
      </w:r>
      <w:r>
        <w:rPr>
          <w:rFonts w:asci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C732C">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基金管理人、</w:t>
      </w:r>
      <w:r>
        <w:rPr>
          <w:rFonts w:ascii="宋体" w:cs="宋体"/>
          <w:bCs/>
          <w:sz w:val="24"/>
          <w:szCs w:val="24"/>
          <w:highlight w:val="white"/>
          <w:lang w:eastAsia="zh-CN"/>
        </w:rPr>
        <w:t>基金托管人因依法解散</w:t>
      </w:r>
      <w:r>
        <w:rPr>
          <w:rFonts w:asci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cs="宋体"/>
          <w:bCs/>
          <w:sz w:val="24"/>
          <w:szCs w:val="24"/>
          <w:highlight w:val="white"/>
          <w:lang w:eastAsia="zh-CN"/>
        </w:rPr>
        <w:t>非因基金财产本身承担的债务，不得对基金财产强制执行。</w:t>
      </w:r>
    </w:p>
    <w:p w:rsidR="009C732C">
      <w:pPr>
        <w:pStyle w:val="11"/>
        <w:spacing w:before="0" w:after="0"/>
        <w:jc w:val="center"/>
        <w:rPr>
          <w:rFonts w:cs="宋体"/>
          <w:sz w:val="30"/>
          <w:lang w:eastAsia="zh-CN"/>
        </w:rPr>
      </w:pPr>
      <w:r>
        <w:rPr>
          <w:rFonts w:cs="宋体"/>
          <w:b w:val="0"/>
          <w:highlight w:val="white"/>
          <w:lang w:eastAsia="zh-CN"/>
        </w:rPr>
        <w:br w:type="page"/>
      </w:r>
      <w:bookmarkStart w:id="332" w:name="_Toc446339252"/>
      <w:bookmarkStart w:id="333" w:name="_Toc2623"/>
      <w:bookmarkStart w:id="334" w:name="_Toc6327219"/>
      <w:r>
        <w:rPr>
          <w:rFonts w:cs="宋体" w:hint="eastAsia"/>
          <w:sz w:val="30"/>
          <w:highlight w:val="white"/>
          <w:lang w:eastAsia="zh-CN"/>
        </w:rPr>
        <w:t>第十四部分</w:t>
      </w:r>
      <w:r>
        <w:rPr>
          <w:rFonts w:cs="宋体"/>
          <w:sz w:val="30"/>
          <w:highlight w:val="white"/>
          <w:lang w:eastAsia="zh-CN"/>
        </w:rPr>
        <w:t xml:space="preserve"> </w:t>
      </w:r>
      <w:bookmarkStart w:id="335" w:name="_Toc27832"/>
      <w:bookmarkStart w:id="336" w:name="_Toc871"/>
      <w:bookmarkStart w:id="337" w:name="_Toc19714"/>
      <w:bookmarkStart w:id="338" w:name="_Toc17782"/>
      <w:bookmarkStart w:id="339" w:name="_Toc31917"/>
      <w:bookmarkStart w:id="340" w:name="_Toc7802"/>
      <w:bookmarkStart w:id="341" w:name="_Toc141703894"/>
      <w:bookmarkStart w:id="342" w:name="_Toc139991744"/>
      <w:r>
        <w:rPr>
          <w:rFonts w:cs="宋体" w:hint="eastAsia"/>
          <w:sz w:val="30"/>
          <w:highlight w:val="white"/>
          <w:lang w:eastAsia="zh-CN"/>
        </w:rPr>
        <w:t>基金资产估值</w:t>
      </w:r>
      <w:bookmarkEnd w:id="332"/>
      <w:bookmarkEnd w:id="333"/>
      <w:bookmarkEnd w:id="334"/>
      <w:bookmarkEnd w:id="335"/>
      <w:bookmarkEnd w:id="336"/>
      <w:bookmarkEnd w:id="337"/>
      <w:bookmarkEnd w:id="338"/>
      <w:bookmarkEnd w:id="339"/>
      <w:bookmarkEnd w:id="340"/>
      <w:bookmarkEnd w:id="341"/>
      <w:bookmarkEnd w:id="342"/>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bookmarkStart w:id="343" w:name="_Toc32046"/>
      <w:bookmarkStart w:id="344" w:name="_Toc141703895"/>
      <w:bookmarkStart w:id="345" w:name="_Toc139991745"/>
      <w:r>
        <w:rPr>
          <w:rFonts w:ascii="宋体" w:cs="宋体" w:hint="eastAsia"/>
          <w:sz w:val="24"/>
          <w:szCs w:val="24"/>
          <w:highlight w:val="white"/>
          <w:lang w:eastAsia="zh-CN"/>
        </w:rPr>
        <w:t>一、估值日</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本基金的估值日为本基金相关的证券交易场所的交易日以及国家法律法规规定需要对外披露基金净值的非交易日。</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二、估值对象</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基金所拥有的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bCs/>
          <w:sz w:val="24"/>
          <w:szCs w:val="24"/>
          <w:highlight w:val="white"/>
          <w:lang w:eastAsia="zh-CN"/>
        </w:rPr>
        <w:t>股票、</w:t>
      </w:r>
      <w:r>
        <w:rPr>
          <w:rFonts w:ascii="宋体" w:cs="宋体"/>
          <w:bCs/>
          <w:sz w:val="24"/>
          <w:szCs w:val="24"/>
          <w:highlight w:val="white"/>
          <w:lang w:eastAsia="zh-CN"/>
        </w:rPr>
        <w:t>债券和银行存款本息</w:t>
      </w:r>
      <w:r>
        <w:rPr>
          <w:rFonts w:ascii="宋体" w:cs="宋体" w:hint="eastAsia"/>
          <w:bCs/>
          <w:sz w:val="24"/>
          <w:szCs w:val="24"/>
          <w:highlight w:val="white"/>
          <w:lang w:eastAsia="zh-CN"/>
        </w:rPr>
        <w:t>、应收款项、其它投资等资产及负债。</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bCs/>
          <w:sz w:val="24"/>
          <w:szCs w:val="24"/>
          <w:highlight w:val="white"/>
          <w:lang w:eastAsia="zh-CN"/>
        </w:rPr>
        <w:t>、</w:t>
      </w:r>
      <w:r>
        <w:rPr>
          <w:rFonts w:ascii="宋体" w:cs="宋体" w:hint="eastAsia"/>
          <w:bCs/>
          <w:sz w:val="24"/>
          <w:szCs w:val="24"/>
          <w:highlight w:val="white"/>
          <w:lang w:eastAsia="zh-CN"/>
        </w:rPr>
        <w:t>估值原则</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基金管理人在确定相关金融资产和金融负债的公允价值时，应符合《企业会计准则》、监管部门有关规定。</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一）</w:t>
      </w:r>
      <w:r>
        <w:rPr>
          <w:rFonts w:asci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二）</w:t>
      </w:r>
      <w:r>
        <w:rPr>
          <w:rFonts w:asci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四、估值方法</w:t>
      </w:r>
    </w:p>
    <w:p w:rsidR="009C732C">
      <w:pPr>
        <w:spacing w:line="360" w:lineRule="auto"/>
        <w:ind w:firstLine="480"/>
        <w:rPr>
          <w:rFonts w:ascii="宋体"/>
          <w:bCs/>
          <w:sz w:val="24"/>
          <w:lang w:eastAsia="zh-CN"/>
        </w:rPr>
      </w:pPr>
      <w:r>
        <w:rPr>
          <w:rFonts w:ascii="宋体" w:cs="宋体"/>
          <w:sz w:val="24"/>
          <w:szCs w:val="24"/>
          <w:highlight w:val="white"/>
          <w:lang w:eastAsia="zh-CN"/>
        </w:rPr>
        <w:t>1、</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基金份额估值方法</w:t>
      </w:r>
    </w:p>
    <w:p w:rsidR="009C732C">
      <w:pPr>
        <w:spacing w:line="360" w:lineRule="auto"/>
        <w:ind w:firstLine="480"/>
        <w:rPr>
          <w:rFonts w:ascii="宋体"/>
          <w:bCs/>
          <w:sz w:val="24"/>
          <w:lang w:eastAsia="zh-CN"/>
        </w:rPr>
      </w:pPr>
      <w:r>
        <w:rPr>
          <w:rFonts w:ascii="宋体" w:hint="eastAsia"/>
          <w:bCs/>
          <w:sz w:val="24"/>
          <w:highlight w:val="white"/>
          <w:lang w:eastAsia="zh-CN"/>
        </w:rPr>
        <w:t>对持有的目标ETF基金份额，按估值日目标ETF基金的份额净值估值。</w:t>
      </w:r>
    </w:p>
    <w:p w:rsidR="009C732C">
      <w:pPr>
        <w:spacing w:line="360" w:lineRule="auto"/>
        <w:ind w:firstLine="480"/>
        <w:rPr>
          <w:rFonts w:ascii="宋体" w:cs="宋体"/>
          <w:sz w:val="24"/>
          <w:szCs w:val="24"/>
          <w:lang w:eastAsia="zh-CN"/>
        </w:rPr>
      </w:pPr>
      <w:r>
        <w:rPr>
          <w:rFonts w:ascii="宋体"/>
          <w:bCs/>
          <w:sz w:val="24"/>
          <w:highlight w:val="white"/>
          <w:lang w:eastAsia="zh-CN"/>
        </w:rPr>
        <w:t>2、</w:t>
      </w:r>
      <w:r>
        <w:rPr>
          <w:rFonts w:ascii="宋体" w:cs="宋体" w:hint="eastAsia"/>
          <w:sz w:val="24"/>
          <w:szCs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、处于未上市期间的有价证券应区分如下情况处理：</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（1）送股、转增股、配股和公开增发的新股，按估值日在证券交易所挂牌的同一股票的估值方法估值；该日无交易的，以最近一日的市价（收盘价）估值；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（2）首次公开发行未上市的股票，采用估值技术确定公允价值；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、对于已上市或已挂牌转让的不含权固定收益品种，选取估值日第三方估值基准服务机构提供的相应品种当日的估值全价进行估值。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、对于已上市或已挂牌转让的含权固定收益品种，选取估值日第三方估值基准服务机构提供的相应品种当日的唯一估值全价或推荐估值全价进行估值。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、对于未上市或未挂牌转让且不存在活跃市场的固定收益品种，采用在当前情况下适用并且有足够可利用数据和其他信息支持的估值技术确定其公允价值。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、期货合约以估值当日结算价进行估值，估值当日无结算价的，且最近交易日后经济环境未发生重大变化的，采用最近交易日结算价估值。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、本基金投资期权，根据相关法律法规以及监管部门的规定估值。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、本基金参与融资业务的，按照相关法律法规、监管部门和行业协会的相关规定进行估值。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1</w:t>
      </w:r>
      <w:r>
        <w:rPr>
          <w:rFonts w:ascii="宋体" w:cs="宋体" w:hint="eastAsia"/>
          <w:sz w:val="24"/>
          <w:szCs w:val="24"/>
          <w:highlight w:val="white"/>
          <w:lang w:eastAsia="zh-CN"/>
        </w:rPr>
        <w:t>、本基金参与转融通证券出借业务的，按照相关法律法规和行业协会的相关规定进行估值。</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2</w:t>
      </w:r>
      <w:r>
        <w:rPr>
          <w:rFonts w:ascii="宋体" w:cs="宋体" w:hint="eastAsia"/>
          <w:sz w:val="24"/>
          <w:szCs w:val="24"/>
          <w:highlight w:val="white"/>
          <w:lang w:eastAsia="zh-CN"/>
        </w:rPr>
        <w:t>、本基金投资存托凭证的估值核算，依照境内上市交易的股票执行</w:t>
      </w:r>
      <w:r>
        <w:rPr>
          <w:rFonts w:ascii="宋体" w:cs="宋体"/>
          <w:bCs/>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13、如有充分理由表明按上述方法进行估值不能客观反映其公允价值的，基金管理人可根据具体情况与基金托管人商定后，按最能反映公允价值的价格估值。</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14</w:t>
      </w:r>
      <w:r>
        <w:rPr>
          <w:rFonts w:ascii="宋体" w:cs="宋体"/>
          <w:sz w:val="24"/>
          <w:szCs w:val="24"/>
          <w:highlight w:val="white"/>
          <w:lang w:eastAsia="zh-CN"/>
        </w:rPr>
        <w:t>、当发生大额申购或赎回情形时，基金管理人可以采用摆动定价机制，以确保基金估值的公平性。</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sz w:val="24"/>
          <w:szCs w:val="24"/>
          <w:highlight w:val="white"/>
          <w:lang w:eastAsia="zh-CN"/>
        </w:rPr>
        <w:t>、相关法律法规以及监管部门有强制规定的，从其规定。如有新增事项，按国家最新规定估值。</w:t>
      </w:r>
    </w:p>
    <w:p w:rsidR="009C732C">
      <w:pPr>
        <w:spacing w:line="360" w:lineRule="auto"/>
        <w:ind w:firstLine="480"/>
        <w:rPr>
          <w:rStyle w:val="read"/>
          <w:rFonts w:ascii="宋体" w:cs="宋体"/>
          <w:bCs/>
          <w:sz w:val="24"/>
          <w:szCs w:val="24"/>
          <w:lang w:eastAsia="zh-CN"/>
        </w:rPr>
      </w:pPr>
      <w:r>
        <w:rPr>
          <w:rStyle w:val="read"/>
          <w:rFonts w:asci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cs="宋体" w:hint="eastAsia"/>
          <w:sz w:val="24"/>
          <w:szCs w:val="24"/>
          <w:highlight w:val="white"/>
          <w:lang w:eastAsia="zh-CN"/>
        </w:rPr>
        <w:t>净值</w:t>
      </w:r>
      <w:r>
        <w:rPr>
          <w:rFonts w:ascii="宋体" w:cs="宋体" w:hint="eastAsia"/>
          <w:bCs/>
          <w:sz w:val="24"/>
          <w:szCs w:val="24"/>
          <w:highlight w:val="white"/>
          <w:lang w:eastAsia="zh-CN"/>
        </w:rPr>
        <w:t>的计算结果对外予以公布。</w:t>
      </w:r>
    </w:p>
    <w:p w:rsidR="009C732C">
      <w:pPr>
        <w:spacing w:line="360" w:lineRule="auto"/>
        <w:ind w:firstLine="420"/>
        <w:rPr>
          <w:rFonts w:ascii="宋体" w:cs="宋体"/>
          <w:sz w:val="24"/>
          <w:szCs w:val="24"/>
          <w:lang w:eastAsia="zh-CN"/>
        </w:rPr>
      </w:pPr>
      <w:r>
        <w:rPr>
          <w:rFonts w:ascii="宋体" w:cs="宋体" w:hint="eastAsia"/>
          <w:sz w:val="24"/>
          <w:szCs w:val="24"/>
          <w:highlight w:val="white"/>
          <w:lang w:eastAsia="zh-CN"/>
        </w:rPr>
        <w:t>五、估值程序</w:t>
      </w:r>
    </w:p>
    <w:p w:rsidR="009C732C">
      <w:pPr>
        <w:widowControl/>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bCs/>
          <w:sz w:val="24"/>
          <w:szCs w:val="24"/>
          <w:highlight w:val="white"/>
          <w:lang w:eastAsia="zh-CN"/>
        </w:rPr>
        <w:t>各类基金份额净值是按照每个估值日闭市后，该类基金资产净值除以当日该类基金份额的余额数量计算，均精确到0.0001</w:t>
      </w:r>
      <w:r>
        <w:rPr>
          <w:rFonts w:ascii="宋体" w:cs="宋体" w:hint="eastAsia"/>
          <w:bCs/>
          <w:sz w:val="24"/>
          <w:szCs w:val="24"/>
          <w:highlight w:val="white"/>
          <w:lang w:eastAsia="zh-CN"/>
        </w:rPr>
        <w:t>元，小数点后第</w:t>
      </w:r>
      <w:r>
        <w:rPr>
          <w:rFonts w:ascii="宋体" w:cs="宋体"/>
          <w:sz w:val="24"/>
          <w:szCs w:val="24"/>
          <w:highlight w:val="white"/>
          <w:lang w:eastAsia="zh-CN"/>
        </w:rPr>
        <w:t>5</w:t>
      </w:r>
      <w:r>
        <w:rPr>
          <w:rFonts w:ascii="宋体" w:cs="宋体" w:hint="eastAsia"/>
          <w:bCs/>
          <w:sz w:val="24"/>
          <w:szCs w:val="24"/>
          <w:highlight w:val="white"/>
          <w:lang w:eastAsia="zh-CN"/>
        </w:rPr>
        <w:t>位四舍五入。基金管理人可以设立大额赎回情形下的净值精度应急调整机制。国家另有规定的，从其规定。</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每个估值日计算基金资产净值及各类基金份额净值，并按规定公告。</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w:t>
      </w:r>
      <w:r>
        <w:rPr>
          <w:rFonts w:asci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w:t>
      </w:r>
      <w:r>
        <w:rPr>
          <w:rFonts w:ascii="宋体" w:cs="宋体"/>
          <w:bCs/>
          <w:sz w:val="24"/>
          <w:szCs w:val="24"/>
          <w:highlight w:val="white"/>
          <w:lang w:eastAsia="zh-CN"/>
        </w:rPr>
        <w:t>各类基金份额净值结果发送基金托管人，经基金托管人复核无误后，由基金管理人按规定对外公布。</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六、估值错误的处理</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基金管理人和基金托管人将采取必要、适当、合理的措施确保基金资产估值的准确性、及时性。当</w:t>
      </w:r>
      <w:r>
        <w:rPr>
          <w:rFonts w:ascii="宋体" w:cs="宋体"/>
          <w:bCs/>
          <w:sz w:val="24"/>
          <w:szCs w:val="24"/>
          <w:highlight w:val="white"/>
          <w:lang w:eastAsia="zh-CN"/>
        </w:rPr>
        <w:t>任一类基金份额净值小数点后4</w:t>
      </w:r>
      <w:r>
        <w:rPr>
          <w:rFonts w:ascii="宋体" w:cs="宋体" w:hint="eastAsia"/>
          <w:bCs/>
          <w:sz w:val="24"/>
          <w:szCs w:val="24"/>
          <w:highlight w:val="white"/>
          <w:lang w:eastAsia="zh-CN"/>
        </w:rPr>
        <w:t>位以内（含第</w:t>
      </w:r>
      <w:r>
        <w:rPr>
          <w:rFonts w:ascii="宋体" w:cs="宋体"/>
          <w:bCs/>
          <w:sz w:val="24"/>
          <w:szCs w:val="24"/>
          <w:highlight w:val="white"/>
          <w:lang w:eastAsia="zh-CN"/>
        </w:rPr>
        <w:t>4</w:t>
      </w:r>
      <w:r>
        <w:rPr>
          <w:rFonts w:ascii="宋体" w:cs="宋体" w:hint="eastAsia"/>
          <w:bCs/>
          <w:sz w:val="24"/>
          <w:szCs w:val="24"/>
          <w:highlight w:val="white"/>
          <w:lang w:eastAsia="zh-CN"/>
        </w:rPr>
        <w:t>位）发生估值错误时，视为该类基金份额净值错误。</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本基金合同的当事人应按照以下约定处理：</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、估值错误类型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cs="宋体"/>
          <w:bCs/>
          <w:sz w:val="24"/>
          <w:szCs w:val="24"/>
          <w:highlight w:val="white"/>
          <w:lang w:eastAsia="zh-CN"/>
        </w:rPr>
        <w:t>“</w:t>
      </w:r>
      <w:r>
        <w:rPr>
          <w:rFonts w:ascii="宋体" w:cs="宋体" w:hint="eastAsia"/>
          <w:bCs/>
          <w:sz w:val="24"/>
          <w:szCs w:val="24"/>
          <w:highlight w:val="white"/>
          <w:lang w:eastAsia="zh-CN"/>
        </w:rPr>
        <w:t>估值错误处理原则</w:t>
      </w:r>
      <w:r>
        <w:rPr>
          <w:rFonts w:ascii="宋体" w:cs="宋体"/>
          <w:bCs/>
          <w:sz w:val="24"/>
          <w:szCs w:val="24"/>
          <w:highlight w:val="white"/>
          <w:lang w:eastAsia="zh-CN"/>
        </w:rPr>
        <w:t>”</w:t>
      </w:r>
      <w:r>
        <w:rPr>
          <w:rFonts w:ascii="宋体" w:cs="宋体" w:hint="eastAsia"/>
          <w:bCs/>
          <w:sz w:val="24"/>
          <w:szCs w:val="24"/>
          <w:highlight w:val="white"/>
          <w:lang w:eastAsia="zh-CN"/>
        </w:rPr>
        <w:t>给予赔偿，承担赔偿责任。</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上述估值错误的主要类型包括但不限于：资料申报差错、数据传输差错、数据计算差错、系统故障差错、下达指令差错等。</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、估值错误处理原则</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）估值错误调整采用尽量恢复至假设未发生估值错误的正确情形的方式。</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、估值错误处理程序</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估值错误被发现后，有关的当事人应当及时进行处理，处理的程序如下：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）查明估值错误发生的原因，列明所有的当事人，并根据估值错误发生的原因确定估值错误的责任方；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）根据估值错误处理原则或当事人协商的方法对因估值错误造成的损失进行评估；</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）根据估值错误处理原则或当事人协商的方法由估值错误的责任方进行更正和赔偿损失；</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、基金份额净值估值错误处理的方法如下：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）基金份额净值计算出现错误时，基金管理人应当立即予以纠正，通报基金托管人，并采取合理的措施防止损失进一步扩大。</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）错误偏差达到该类基金份额净值的</w:t>
      </w:r>
      <w:r>
        <w:rPr>
          <w:rFonts w:ascii="宋体" w:cs="宋体"/>
          <w:bCs/>
          <w:sz w:val="24"/>
          <w:szCs w:val="24"/>
          <w:highlight w:val="white"/>
          <w:lang w:eastAsia="zh-CN"/>
        </w:rPr>
        <w:t>0.25%</w:t>
      </w:r>
      <w:r>
        <w:rPr>
          <w:rFonts w:ascii="宋体" w:cs="宋体" w:hint="eastAsia"/>
          <w:bCs/>
          <w:sz w:val="24"/>
          <w:szCs w:val="24"/>
          <w:highlight w:val="white"/>
          <w:lang w:eastAsia="zh-CN"/>
        </w:rPr>
        <w:t>时，</w:t>
      </w:r>
      <w:r>
        <w:rPr>
          <w:rFonts w:ascii="宋体" w:cs="宋体"/>
          <w:bCs/>
          <w:sz w:val="24"/>
          <w:szCs w:val="24"/>
          <w:highlight w:val="white"/>
          <w:lang w:eastAsia="zh-CN"/>
        </w:rPr>
        <w:t>基金管理人应当通报基金托管人并报中国证监会备案</w:t>
      </w:r>
      <w:r>
        <w:rPr>
          <w:rFonts w:ascii="宋体" w:cs="宋体" w:hint="eastAsia"/>
          <w:bCs/>
          <w:sz w:val="24"/>
          <w:szCs w:val="24"/>
          <w:highlight w:val="white"/>
          <w:lang w:eastAsia="zh-CN"/>
        </w:rPr>
        <w:t>；错误偏差达到该类基金份额净值的</w:t>
      </w:r>
      <w:r>
        <w:rPr>
          <w:rFonts w:ascii="宋体" w:cs="宋体"/>
          <w:bCs/>
          <w:sz w:val="24"/>
          <w:szCs w:val="24"/>
          <w:highlight w:val="white"/>
          <w:lang w:eastAsia="zh-CN"/>
        </w:rPr>
        <w:t>0.5%</w:t>
      </w:r>
      <w:r>
        <w:rPr>
          <w:rFonts w:ascii="宋体" w:cs="宋体" w:hint="eastAsia"/>
          <w:bCs/>
          <w:sz w:val="24"/>
          <w:szCs w:val="24"/>
          <w:highlight w:val="white"/>
          <w:lang w:eastAsia="zh-CN"/>
        </w:rPr>
        <w:t>时，基金管理人应当公告，并报中国证监会备案。</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（3）前述内容如法律法规或监管机关另有规定的，从其规定处理。</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、暂停估值的情形</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1、基金投资所涉及的证券交易市场遇法定节假日或因其他原因暂停营业时</w:t>
      </w:r>
      <w:r>
        <w:rPr>
          <w:rFonts w:ascii="宋体" w:cs="宋体" w:hint="eastAsia"/>
          <w:sz w:val="24"/>
          <w:szCs w:val="24"/>
          <w:highlight w:val="white"/>
          <w:lang w:eastAsia="zh-CN"/>
        </w:rPr>
        <w:t>；</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、因不可抗力致使基金管理人、基金托管人无法准确评估基金资产价值时；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、当特定资产占前一估值日基金资产净值</w:t>
      </w:r>
      <w:r>
        <w:rPr>
          <w:rFonts w:ascii="宋体" w:cs="宋体"/>
          <w:sz w:val="24"/>
          <w:szCs w:val="24"/>
          <w:highlight w:val="white"/>
          <w:lang w:eastAsia="zh-CN"/>
        </w:rPr>
        <w:t>50%</w:t>
      </w:r>
      <w:r>
        <w:rPr>
          <w:rFonts w:ascii="宋体" w:cs="宋体" w:hint="eastAsia"/>
          <w:sz w:val="24"/>
          <w:szCs w:val="24"/>
          <w:highlight w:val="white"/>
          <w:lang w:eastAsia="zh-CN"/>
        </w:rPr>
        <w:t>以上的，经与基金托管人协商确认后，基金管理人应当暂停估值；</w:t>
      </w:r>
    </w:p>
    <w:p w:rsidR="009C732C">
      <w:pPr>
        <w:spacing w:line="360" w:lineRule="auto"/>
        <w:ind w:firstLine="480"/>
        <w:rPr>
          <w:rFonts w:ascii="宋体"/>
          <w:bCs/>
          <w:sz w:val="24"/>
          <w:lang w:eastAsia="zh-CN"/>
        </w:rPr>
      </w:pPr>
      <w:r>
        <w:rPr>
          <w:rFonts w:ascii="宋体" w:cs="宋体"/>
          <w:color w:val="000000"/>
          <w:sz w:val="24"/>
          <w:szCs w:val="24"/>
          <w:highlight w:val="white"/>
          <w:lang w:eastAsia="zh-CN"/>
        </w:rPr>
        <w:t>4</w:t>
      </w:r>
      <w:r>
        <w:rPr>
          <w:rFonts w:ascii="宋体" w:cs="宋体" w:hint="eastAsia"/>
          <w:color w:val="000000"/>
          <w:sz w:val="24"/>
          <w:szCs w:val="24"/>
          <w:highlight w:val="white"/>
          <w:lang w:eastAsia="zh-CN"/>
        </w:rPr>
        <w:t>、</w:t>
      </w:r>
      <w:r>
        <w:rPr>
          <w:rFonts w:ascii="宋体" w:hint="eastAsia"/>
          <w:bCs/>
          <w:sz w:val="24"/>
          <w:highlight w:val="white"/>
          <w:lang w:eastAsia="zh-CN"/>
        </w:rPr>
        <w:t>基金所投资的目标ETF发生暂停估值、暂停公告基金份额净值的情形；</w:t>
      </w:r>
    </w:p>
    <w:p w:rsidR="009C732C">
      <w:pPr>
        <w:spacing w:line="360" w:lineRule="auto"/>
        <w:ind w:firstLine="480"/>
        <w:rPr>
          <w:rFonts w:ascii="宋体" w:cs="宋体"/>
          <w:sz w:val="24"/>
          <w:szCs w:val="24"/>
          <w:lang w:eastAsia="zh-CN"/>
        </w:rPr>
      </w:pPr>
      <w:r>
        <w:rPr>
          <w:rFonts w:ascii="宋体" w:hint="eastAsia"/>
          <w:bCs/>
          <w:sz w:val="24"/>
          <w:highlight w:val="white"/>
          <w:lang w:eastAsia="zh-CN"/>
        </w:rPr>
        <w:t>5</w:t>
      </w:r>
      <w:r>
        <w:rPr>
          <w:rFonts w:ascii="宋体"/>
          <w:bCs/>
          <w:sz w:val="24"/>
          <w:highlight w:val="white"/>
          <w:lang w:eastAsia="zh-CN"/>
        </w:rPr>
        <w:t>、</w:t>
      </w:r>
      <w:r>
        <w:rPr>
          <w:rFonts w:ascii="宋体" w:cs="宋体" w:hint="eastAsia"/>
          <w:sz w:val="24"/>
          <w:szCs w:val="24"/>
          <w:highlight w:val="white"/>
          <w:lang w:eastAsia="zh-CN"/>
        </w:rPr>
        <w:t>中国证监会和基金合同认定的其它情形。</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八</w:t>
      </w:r>
      <w:r>
        <w:rPr>
          <w:rFonts w:ascii="宋体" w:cs="宋体" w:hint="eastAsia"/>
          <w:sz w:val="24"/>
          <w:szCs w:val="24"/>
          <w:highlight w:val="white"/>
          <w:lang w:eastAsia="zh-CN"/>
        </w:rPr>
        <w:t>、基金净值的确认</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净值予以公布。</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九、</w:t>
      </w:r>
      <w:r>
        <w:rPr>
          <w:rFonts w:ascii="宋体" w:cs="宋体" w:hint="eastAsia"/>
          <w:bCs/>
          <w:sz w:val="24"/>
          <w:szCs w:val="24"/>
          <w:highlight w:val="white"/>
          <w:lang w:eastAsia="zh-CN"/>
        </w:rPr>
        <w:t>特殊情况的处理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、基金管理人或基金托管人按估值方法的第1</w:t>
      </w:r>
      <w:r>
        <w:rPr>
          <w:rFonts w:ascii="宋体" w:cs="宋体"/>
          <w:sz w:val="24"/>
          <w:szCs w:val="24"/>
          <w:highlight w:val="white"/>
          <w:lang w:eastAsia="zh-CN"/>
        </w:rPr>
        <w:t>3</w:t>
      </w:r>
      <w:r>
        <w:rPr>
          <w:rFonts w:ascii="宋体" w:cs="宋体" w:hint="eastAsia"/>
          <w:sz w:val="24"/>
          <w:szCs w:val="24"/>
          <w:highlight w:val="white"/>
          <w:lang w:eastAsia="zh-CN"/>
        </w:rPr>
        <w:t>项进行估值时，所造成的误差不作为基金资产估值错误处理。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、由于不可抗力，或证券交易所、登记结算机构</w:t>
      </w:r>
      <w:r>
        <w:rPr>
          <w:rFonts w:ascii="宋体" w:hint="eastAsia"/>
          <w:sz w:val="24"/>
          <w:highlight w:val="white"/>
          <w:lang w:eastAsia="zh-CN"/>
        </w:rPr>
        <w:t>、</w:t>
      </w:r>
      <w:r>
        <w:rPr>
          <w:rFonts w:ascii="宋体" w:hint="eastAsia"/>
          <w:bCs/>
          <w:sz w:val="24"/>
          <w:highlight w:val="white"/>
          <w:lang w:eastAsia="zh-CN"/>
        </w:rPr>
        <w:t>指数编制机构</w:t>
      </w:r>
      <w:r>
        <w:rPr>
          <w:rFonts w:ascii="宋体" w:cs="宋体" w:hint="eastAsia"/>
          <w:sz w:val="24"/>
          <w:szCs w:val="24"/>
          <w:highlight w:val="white"/>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十、</w:t>
      </w:r>
      <w:r>
        <w:rPr>
          <w:rFonts w:ascii="宋体" w:cs="宋体" w:hint="eastAsia"/>
          <w:sz w:val="24"/>
          <w:szCs w:val="24"/>
          <w:highlight w:val="white"/>
          <w:lang w:eastAsia="zh-CN"/>
        </w:rPr>
        <w:t>实施侧袋机制期间的基金资产估值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9C732C">
      <w:pPr>
        <w:pStyle w:val="11"/>
        <w:spacing w:before="0" w:after="0"/>
        <w:jc w:val="center"/>
        <w:rPr>
          <w:rFonts w:cs="宋体"/>
          <w:color w:val="auto"/>
          <w:sz w:val="30"/>
          <w:lang w:eastAsia="zh-CN"/>
        </w:rPr>
      </w:pPr>
      <w:r>
        <w:rPr>
          <w:rFonts w:cs="宋体"/>
          <w:b w:val="0"/>
          <w:color w:val="auto"/>
          <w:sz w:val="30"/>
          <w:highlight w:val="white"/>
          <w:lang w:eastAsia="zh-CN"/>
        </w:rPr>
        <w:br w:type="page"/>
      </w:r>
      <w:bookmarkStart w:id="346" w:name="_Toc32041"/>
      <w:bookmarkStart w:id="347" w:name="_Toc3365"/>
      <w:bookmarkStart w:id="348" w:name="_Toc19706"/>
      <w:bookmarkStart w:id="349" w:name="_Toc6327220"/>
      <w:bookmarkStart w:id="350" w:name="_Toc32227"/>
      <w:bookmarkStart w:id="351" w:name="_Toc19752"/>
      <w:bookmarkStart w:id="352" w:name="_Toc446339253"/>
      <w:bookmarkStart w:id="353" w:name="_Toc13987"/>
      <w:bookmarkStart w:id="354" w:name="_Toc15779"/>
      <w:bookmarkStart w:id="355" w:name="_Toc12105"/>
      <w:bookmarkStart w:id="356" w:name="_Toc24601"/>
      <w:bookmarkStart w:id="357" w:name="_Toc6493"/>
      <w:r>
        <w:rPr>
          <w:rFonts w:cs="宋体" w:hint="eastAsia"/>
          <w:color w:val="auto"/>
          <w:sz w:val="30"/>
          <w:highlight w:val="white"/>
          <w:lang w:eastAsia="zh-CN"/>
        </w:rPr>
        <w:t>第十五部分 基金费用与税收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一、基金费用的种类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r>
        <w:rPr>
          <w:rFonts w:ascii="宋体" w:cs="宋体"/>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r>
        <w:rPr>
          <w:rFonts w:ascii="宋体" w:cs="宋体"/>
          <w:bCs/>
          <w:sz w:val="24"/>
          <w:szCs w:val="24"/>
          <w:highlight w:val="white"/>
          <w:lang w:eastAsia="zh-CN"/>
        </w:rPr>
        <w:t>；</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sz w:val="24"/>
          <w:szCs w:val="24"/>
          <w:highlight w:val="white"/>
          <w:lang w:eastAsia="zh-CN"/>
        </w:rPr>
        <w:t>、《基金合同》生效后与基金相关的信息披露费用；</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5</w:t>
      </w:r>
      <w:r>
        <w:rPr>
          <w:rFonts w:ascii="宋体" w:cs="宋体" w:hint="eastAsia"/>
          <w:sz w:val="24"/>
          <w:szCs w:val="24"/>
          <w:highlight w:val="white"/>
          <w:lang w:eastAsia="zh-CN"/>
        </w:rPr>
        <w:t>、《基金合同》生效后与基金相关的会计师费、律师费</w:t>
      </w:r>
      <w:r>
        <w:rPr>
          <w:rFonts w:ascii="宋体" w:cs="宋体" w:hint="eastAsia"/>
          <w:bCs/>
          <w:sz w:val="24"/>
          <w:szCs w:val="24"/>
          <w:highlight w:val="white"/>
          <w:lang w:eastAsia="zh-CN"/>
        </w:rPr>
        <w:t>、诉讼费</w:t>
      </w:r>
      <w:r>
        <w:rPr>
          <w:rFonts w:ascii="宋体" w:cs="宋体" w:hint="eastAsia"/>
          <w:sz w:val="24"/>
          <w:szCs w:val="24"/>
          <w:highlight w:val="white"/>
          <w:lang w:eastAsia="zh-CN"/>
        </w:rPr>
        <w:t>和</w:t>
      </w:r>
      <w:r>
        <w:rPr>
          <w:rFonts w:ascii="宋体" w:cs="宋体" w:hint="eastAsia"/>
          <w:bCs/>
          <w:sz w:val="24"/>
          <w:szCs w:val="24"/>
          <w:highlight w:val="white"/>
          <w:lang w:eastAsia="zh-CN"/>
        </w:rPr>
        <w:t>仲裁</w:t>
      </w:r>
      <w:r>
        <w:rPr>
          <w:rFonts w:ascii="宋体" w:cs="宋体" w:hint="eastAsia"/>
          <w:sz w:val="24"/>
          <w:szCs w:val="24"/>
          <w:highlight w:val="white"/>
          <w:lang w:eastAsia="zh-CN"/>
        </w:rPr>
        <w:t>费；</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、基金份额持有人大会费用；</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7、基金的证券</w:t>
      </w:r>
      <w:r>
        <w:rPr>
          <w:rFonts w:ascii="宋体" w:cs="宋体" w:hint="eastAsia"/>
          <w:bCs/>
          <w:sz w:val="24"/>
          <w:szCs w:val="24"/>
          <w:highlight w:val="white"/>
          <w:lang w:eastAsia="zh-CN"/>
        </w:rPr>
        <w:t>/期货</w:t>
      </w:r>
      <w:r>
        <w:rPr>
          <w:rFonts w:ascii="宋体" w:cs="宋体"/>
          <w:bCs/>
          <w:sz w:val="24"/>
          <w:szCs w:val="24"/>
          <w:highlight w:val="white"/>
          <w:lang w:eastAsia="zh-CN"/>
        </w:rPr>
        <w:t>交易费用，基金投资目标 ETF 的相关费用（包括但不限于目标ETF 的交易费用、申购赎回费用等）；</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8、基金的银行汇划费用；</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9</w:t>
      </w:r>
      <w:r>
        <w:rPr>
          <w:rFonts w:ascii="宋体" w:cs="宋体" w:hint="eastAsia"/>
          <w:bCs/>
          <w:sz w:val="24"/>
          <w:szCs w:val="24"/>
          <w:highlight w:val="white"/>
          <w:lang w:eastAsia="zh-CN"/>
        </w:rPr>
        <w:t>、证券账户开户费用、银行账户维护费用；</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10、</w:t>
      </w:r>
      <w:r>
        <w:rPr>
          <w:rFonts w:ascii="宋体" w:cs="宋体" w:hint="eastAsia"/>
          <w:sz w:val="24"/>
          <w:szCs w:val="24"/>
          <w:highlight w:val="white"/>
          <w:lang w:eastAsia="zh-CN"/>
        </w:rPr>
        <w:t>按照国家有关规定和《基金合同》约定，可以在基金财产中列支的其他费用。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二、基金费用计提方法、计提标准和支付方式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本基金的管理费按前一日基金资产净值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bCs/>
          <w:sz w:val="24"/>
          <w:szCs w:val="24"/>
          <w:highlight w:val="white"/>
          <w:lang w:eastAsia="zh-CN"/>
        </w:rPr>
        <w:t>的</w:t>
      </w:r>
      <w:r>
        <w:rPr>
          <w:rFonts w:ascii="宋体" w:cs="宋体"/>
          <w:sz w:val="24"/>
          <w:szCs w:val="24"/>
          <w:lang w:eastAsia="zh-CN"/>
        </w:rPr>
        <w:t>0.50%</w:t>
      </w:r>
      <w:r>
        <w:rPr>
          <w:rFonts w:ascii="宋体" w:cs="宋体" w:hint="eastAsia"/>
          <w:bCs/>
          <w:sz w:val="24"/>
          <w:szCs w:val="24"/>
          <w:highlight w:val="white"/>
          <w:lang w:eastAsia="zh-CN"/>
        </w:rPr>
        <w:t>年费率计提。管理费的计算方法如下：</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w:t>
      </w:r>
      <w:r>
        <w:rPr>
          <w:rFonts w:ascii="宋体" w:cs="宋体"/>
          <w:bCs/>
          <w:sz w:val="24"/>
          <w:szCs w:val="24"/>
          <w:highlight w:val="white"/>
          <w:lang w:eastAsia="zh-CN"/>
        </w:rPr>
        <w:t>E</w:t>
      </w:r>
      <w:r>
        <w:rPr>
          <w:rFonts w:ascii="宋体" w:cs="宋体"/>
          <w:bCs/>
          <w:sz w:val="24"/>
          <w:szCs w:val="24"/>
          <w:highlight w:val="white"/>
          <w:lang w:eastAsia="zh-CN"/>
        </w:rPr>
        <w:t>×</w:t>
      </w:r>
      <w:r>
        <w:rPr>
          <w:rFonts w:ascii="宋体" w:cs="宋体"/>
          <w:sz w:val="24"/>
          <w:szCs w:val="24"/>
          <w:lang w:eastAsia="zh-CN"/>
        </w:rPr>
        <w:t>0.50%</w:t>
      </w:r>
      <w:r>
        <w:rPr>
          <w:rFonts w:ascii="宋体" w:cs="宋体"/>
          <w:bCs/>
          <w:sz w:val="24"/>
          <w:szCs w:val="24"/>
          <w:highlight w:val="white"/>
          <w:lang w:eastAsia="zh-CN"/>
        </w:rPr>
        <w:t>÷</w:t>
      </w:r>
      <w:r>
        <w:rPr>
          <w:rFonts w:ascii="宋体" w:cs="宋体" w:hint="eastAsia"/>
          <w:bCs/>
          <w:sz w:val="24"/>
          <w:szCs w:val="24"/>
          <w:highlight w:val="white"/>
          <w:lang w:eastAsia="zh-CN"/>
        </w:rPr>
        <w:t>当年天数</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为每日应计提的基金管理费</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E</w:t>
      </w:r>
      <w:r>
        <w:rPr>
          <w:rFonts w:ascii="宋体" w:cs="宋体" w:hint="eastAsia"/>
          <w:bCs/>
          <w:sz w:val="24"/>
          <w:szCs w:val="24"/>
          <w:highlight w:val="white"/>
          <w:lang w:eastAsia="zh-CN"/>
        </w:rPr>
        <w:t>为调整后的前一日的基金资产</w:t>
      </w:r>
      <w:r>
        <w:rPr>
          <w:rFonts w:ascii="宋体" w:hint="eastAsia"/>
          <w:bCs/>
          <w:sz w:val="24"/>
          <w:highlight w:val="white"/>
          <w:lang w:eastAsia="zh-CN"/>
        </w:rPr>
        <w:t>净值。调整后的前一日基金资产净值＝前一日基金资产净值－前一日本基金持有的目标ETF公允价值，金额为负时以零计</w:t>
      </w:r>
    </w:p>
    <w:p w:rsidR="009C732C">
      <w:pPr>
        <w:spacing w:line="360" w:lineRule="auto"/>
        <w:ind w:firstLine="420"/>
        <w:rPr>
          <w:rFonts w:ascii="宋体" w:cs="宋体"/>
          <w:sz w:val="24"/>
          <w:szCs w:val="24"/>
          <w:lang w:eastAsia="zh-CN"/>
        </w:rPr>
      </w:pPr>
      <w:r>
        <w:rPr>
          <w:rFonts w:ascii="宋体" w:cs="宋体" w:hint="eastAsia"/>
          <w:sz w:val="24"/>
          <w:szCs w:val="24"/>
          <w:highlight w:val="white"/>
          <w:lang w:eastAsia="zh-CN"/>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p>
    <w:p w:rsidR="009C732C">
      <w:pPr>
        <w:spacing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本基金的托管费按前一日基金资产净值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color w:val="000000"/>
          <w:sz w:val="24"/>
          <w:szCs w:val="24"/>
          <w:highlight w:val="white"/>
          <w:lang w:eastAsia="zh-CN"/>
        </w:rPr>
        <w:t>的</w:t>
      </w:r>
      <w:r>
        <w:rPr>
          <w:rFonts w:ascii="宋体" w:cs="宋体"/>
          <w:sz w:val="24"/>
          <w:szCs w:val="24"/>
          <w:lang w:eastAsia="zh-CN"/>
        </w:rPr>
        <w:t>0.10%</w:t>
      </w:r>
      <w:r>
        <w:rPr>
          <w:rFonts w:ascii="宋体" w:cs="宋体" w:hint="eastAsia"/>
          <w:color w:val="000000"/>
          <w:sz w:val="24"/>
          <w:szCs w:val="24"/>
          <w:highlight w:val="white"/>
          <w:lang w:eastAsia="zh-CN"/>
        </w:rPr>
        <w:t>的年费率计提。托管费的计算方法如下：</w:t>
      </w:r>
    </w:p>
    <w:p w:rsidR="009C732C">
      <w:pPr>
        <w:spacing w:line="360" w:lineRule="auto"/>
        <w:ind w:firstLine="480"/>
        <w:rPr>
          <w:rFonts w:ascii="宋体" w:cs="宋体"/>
          <w:color w:val="000000"/>
          <w:sz w:val="24"/>
          <w:szCs w:val="24"/>
          <w:lang w:eastAsia="zh-CN"/>
        </w:rPr>
      </w:pPr>
      <w:r>
        <w:rPr>
          <w:rFonts w:ascii="宋体" w:cs="宋体"/>
          <w:color w:val="000000"/>
          <w:sz w:val="24"/>
          <w:szCs w:val="24"/>
          <w:highlight w:val="white"/>
          <w:lang w:eastAsia="zh-CN"/>
        </w:rPr>
        <w:t>H</w:t>
      </w: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E</w:t>
      </w:r>
      <w:r>
        <w:rPr>
          <w:rFonts w:ascii="宋体" w:cs="宋体"/>
          <w:color w:val="000000"/>
          <w:sz w:val="24"/>
          <w:szCs w:val="24"/>
          <w:highlight w:val="white"/>
          <w:lang w:eastAsia="zh-CN"/>
        </w:rPr>
        <w:t>×</w:t>
      </w:r>
      <w:r>
        <w:rPr>
          <w:rFonts w:ascii="宋体" w:cs="宋体"/>
          <w:sz w:val="24"/>
          <w:szCs w:val="24"/>
          <w:lang w:eastAsia="zh-CN"/>
        </w:rPr>
        <w:t>0.10%</w:t>
      </w:r>
      <w:r>
        <w:rPr>
          <w:rFonts w:ascii="宋体" w:cs="宋体"/>
          <w:color w:val="000000"/>
          <w:sz w:val="24"/>
          <w:szCs w:val="24"/>
          <w:highlight w:val="white"/>
          <w:lang w:eastAsia="zh-CN"/>
        </w:rPr>
        <w:t>÷</w:t>
      </w:r>
      <w:r>
        <w:rPr>
          <w:rFonts w:ascii="宋体" w:cs="宋体" w:hint="eastAsia"/>
          <w:color w:val="000000"/>
          <w:sz w:val="24"/>
          <w:szCs w:val="24"/>
          <w:highlight w:val="white"/>
          <w:lang w:eastAsia="zh-CN"/>
        </w:rPr>
        <w:t>当年天数</w:t>
      </w:r>
    </w:p>
    <w:p w:rsidR="009C732C">
      <w:pPr>
        <w:spacing w:line="360" w:lineRule="auto"/>
        <w:ind w:firstLine="480"/>
        <w:rPr>
          <w:rFonts w:ascii="宋体" w:cs="宋体"/>
          <w:color w:val="000000"/>
          <w:sz w:val="24"/>
          <w:szCs w:val="24"/>
          <w:lang w:eastAsia="zh-CN"/>
        </w:rPr>
      </w:pPr>
      <w:r>
        <w:rPr>
          <w:rFonts w:ascii="宋体" w:cs="宋体"/>
          <w:color w:val="000000"/>
          <w:sz w:val="24"/>
          <w:szCs w:val="24"/>
          <w:highlight w:val="white"/>
          <w:lang w:eastAsia="zh-CN"/>
        </w:rPr>
        <w:t>H</w:t>
      </w:r>
      <w:r>
        <w:rPr>
          <w:rFonts w:ascii="宋体" w:cs="宋体" w:hint="eastAsia"/>
          <w:color w:val="000000"/>
          <w:sz w:val="24"/>
          <w:szCs w:val="24"/>
          <w:highlight w:val="white"/>
          <w:lang w:eastAsia="zh-CN"/>
        </w:rPr>
        <w:t>为每日应计提的基金托管费</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E</w:t>
      </w:r>
      <w:r>
        <w:rPr>
          <w:rFonts w:ascii="宋体" w:cs="宋体" w:hint="eastAsia"/>
          <w:bCs/>
          <w:sz w:val="24"/>
          <w:szCs w:val="24"/>
          <w:highlight w:val="white"/>
          <w:lang w:eastAsia="zh-CN"/>
        </w:rPr>
        <w:t>为调整后的前一日的基金资产</w:t>
      </w:r>
      <w:r>
        <w:rPr>
          <w:rFonts w:ascii="宋体" w:hint="eastAsia"/>
          <w:bCs/>
          <w:sz w:val="24"/>
          <w:highlight w:val="white"/>
          <w:lang w:eastAsia="zh-CN"/>
        </w:rPr>
        <w:t>净值。调整后的前一日基金资产净值＝前一日基金资产净值－前一日本基金持有的目标ETF公允价值，金额为负时以零计</w:t>
      </w:r>
    </w:p>
    <w:p w:rsidR="009C732C">
      <w:pPr>
        <w:spacing w:line="360" w:lineRule="auto"/>
        <w:ind w:firstLine="420"/>
        <w:rPr>
          <w:rFonts w:ascii="宋体" w:cs="宋体"/>
          <w:bCs/>
          <w:sz w:val="24"/>
          <w:szCs w:val="24"/>
          <w:lang w:eastAsia="zh-CN"/>
        </w:rPr>
      </w:pPr>
      <w:r>
        <w:rPr>
          <w:rFonts w:ascii="宋体" w:cs="宋体" w:hint="eastAsia"/>
          <w:bCs/>
          <w:sz w:val="24"/>
          <w:szCs w:val="24"/>
          <w:highlight w:val="white"/>
          <w:lang w:eastAsia="zh-CN"/>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本基金A类基金份额不收取销售服务费，C类基金份额的销售服务费年费率为</w:t>
      </w:r>
      <w:r>
        <w:rPr>
          <w:rFonts w:ascii="宋体" w:cs="宋体"/>
          <w:sz w:val="24"/>
          <w:szCs w:val="24"/>
          <w:lang w:eastAsia="zh-CN"/>
        </w:rPr>
        <w:t>0.30%</w:t>
      </w:r>
      <w:r>
        <w:rPr>
          <w:rFonts w:ascii="宋体" w:cs="宋体" w:hint="eastAsia"/>
          <w:bCs/>
          <w:sz w:val="24"/>
          <w:szCs w:val="24"/>
          <w:highlight w:val="white"/>
          <w:lang w:eastAsia="zh-CN"/>
        </w:rPr>
        <w:t>，按前一日C类基金资产净值的</w:t>
      </w:r>
      <w:r>
        <w:rPr>
          <w:rFonts w:ascii="宋体" w:cs="宋体"/>
          <w:sz w:val="24"/>
          <w:szCs w:val="24"/>
          <w:lang w:eastAsia="zh-CN"/>
        </w:rPr>
        <w:t>0.30%</w:t>
      </w:r>
      <w:r>
        <w:rPr>
          <w:rFonts w:ascii="宋体" w:cs="宋体" w:hint="eastAsia"/>
          <w:bCs/>
          <w:sz w:val="24"/>
          <w:szCs w:val="24"/>
          <w:highlight w:val="white"/>
          <w:lang w:eastAsia="zh-CN"/>
        </w:rPr>
        <w:t>年费率计提。</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销售服务费的计算方法如下：</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H＝E×</w:t>
      </w:r>
      <w:r>
        <w:rPr>
          <w:rFonts w:ascii="宋体" w:cs="宋体"/>
          <w:sz w:val="24"/>
          <w:szCs w:val="24"/>
          <w:lang w:eastAsia="zh-CN"/>
        </w:rPr>
        <w:t>0.30%</w:t>
      </w:r>
      <w:r>
        <w:rPr>
          <w:rFonts w:ascii="宋体" w:cs="宋体" w:hint="eastAsia"/>
          <w:bCs/>
          <w:sz w:val="24"/>
          <w:szCs w:val="24"/>
          <w:highlight w:val="white"/>
          <w:lang w:eastAsia="zh-CN"/>
        </w:rPr>
        <w:t>÷当年天数</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H 为C类基金份额每日应计提的销售服务费</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E 为C类基金份额前一日基金资产净值</w:t>
      </w:r>
    </w:p>
    <w:p w:rsidR="009C732C">
      <w:pPr>
        <w:spacing w:line="360" w:lineRule="auto"/>
        <w:ind w:firstLine="420"/>
        <w:rPr>
          <w:rFonts w:ascii="宋体" w:cs="宋体"/>
          <w:sz w:val="24"/>
          <w:szCs w:val="24"/>
          <w:lang w:eastAsia="zh-CN"/>
        </w:rPr>
      </w:pPr>
      <w:r>
        <w:rPr>
          <w:rFonts w:ascii="宋体" w:cs="宋体" w:hint="eastAsia"/>
          <w:sz w:val="24"/>
          <w:szCs w:val="24"/>
          <w:highlight w:val="white"/>
          <w:lang w:eastAsia="zh-CN"/>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上述“一、基金费用的种类</w:t>
      </w:r>
      <w:r>
        <w:rPr>
          <w:rFonts w:ascii="宋体" w:cs="宋体" w:hint="eastAsia"/>
          <w:bCs/>
          <w:sz w:val="24"/>
          <w:szCs w:val="24"/>
          <w:highlight w:val="white"/>
          <w:lang w:eastAsia="zh-CN"/>
        </w:rPr>
        <w:t>”</w:t>
      </w:r>
      <w:r>
        <w:rPr>
          <w:rFonts w:ascii="宋体" w:cs="宋体" w:hint="eastAsia"/>
          <w:sz w:val="24"/>
          <w:szCs w:val="24"/>
          <w:highlight w:val="white"/>
          <w:lang w:eastAsia="zh-CN"/>
        </w:rPr>
        <w:t>中第</w:t>
      </w:r>
      <w:r>
        <w:rPr>
          <w:rFonts w:ascii="宋体" w:cs="宋体"/>
          <w:bCs/>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10</w:t>
      </w:r>
      <w:r>
        <w:rPr>
          <w:rFonts w:ascii="宋体" w:cs="宋体" w:hint="eastAsia"/>
          <w:sz w:val="24"/>
          <w:szCs w:val="24"/>
          <w:highlight w:val="white"/>
          <w:lang w:eastAsia="zh-CN"/>
        </w:rPr>
        <w:t>项费用，根据有关法规及相应协议规定，按费用实际支出金额列入当期费用，由基金托管人从基金财产中支付。</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三、不列入基金费用的项目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下列费用不列入基金费用：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、基金管理人和基金托管人因未履行或未完全履行义务导致的费用支出或基金财产的损失；</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、基金管理人和基金托管人处理与基金运作无关的事项发生的费用；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5、其他根据相关法律法规及中国证监会的有关规定不得列入基金费用的项目。</w:t>
      </w:r>
      <w:bookmarkStart w:id="358" w:name="_Hlt88827255"/>
      <w:bookmarkEnd w:id="358"/>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四、实施侧袋机制期间的基金费用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五、基金税收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本基金运作过程中涉及的各纳税主体，其纳税义务按国家税收法律、法规执行。</w:t>
      </w:r>
      <w:r>
        <w:rPr>
          <w:rFonts w:ascii="宋体" w:cs="宋体"/>
          <w:sz w:val="24"/>
          <w:szCs w:val="24"/>
          <w:highlight w:val="white"/>
          <w:lang w:eastAsia="zh-CN"/>
        </w:rPr>
        <w:t>基金财产投资的相关税收，由基金份额持有人承担，基金管理人或者其他扣缴义务人按照国家有关税收征收的规定代扣代缴。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9C732C">
      <w:pPr>
        <w:pStyle w:val="11"/>
        <w:spacing w:before="0" w:after="0"/>
        <w:jc w:val="center"/>
        <w:rPr>
          <w:rFonts w:cs="宋体"/>
          <w:color w:val="auto"/>
          <w:sz w:val="30"/>
        </w:rPr>
      </w:pPr>
      <w:bookmarkStart w:id="359" w:name="_Toc93226149"/>
      <w:bookmarkStart w:id="360" w:name="_Toc92662707"/>
      <w:bookmarkStart w:id="361" w:name="_Toc128310499"/>
      <w:bookmarkStart w:id="362" w:name="_Toc139991746"/>
      <w:bookmarkStart w:id="363" w:name="_Toc22552"/>
      <w:bookmarkStart w:id="364" w:name="_Toc141703896"/>
      <w:r>
        <w:rPr>
          <w:rFonts w:cs="宋体"/>
          <w:b w:val="0"/>
          <w:color w:val="auto"/>
          <w:sz w:val="30"/>
          <w:highlight w:val="white"/>
          <w:lang w:eastAsia="zh-CN"/>
        </w:rPr>
        <w:br w:type="page"/>
      </w:r>
      <w:bookmarkStart w:id="365" w:name="_Toc6327221"/>
      <w:bookmarkStart w:id="366" w:name="_Toc178"/>
      <w:bookmarkStart w:id="367" w:name="_Toc15525"/>
      <w:bookmarkStart w:id="368" w:name="_Toc19558"/>
      <w:bookmarkStart w:id="369" w:name="_Toc15351"/>
      <w:bookmarkStart w:id="370" w:name="_Toc21829"/>
      <w:bookmarkStart w:id="371" w:name="_Toc446339254"/>
      <w:bookmarkStart w:id="372" w:name="_Toc20052"/>
      <w:bookmarkStart w:id="373" w:name="_Toc3656"/>
      <w:bookmarkStart w:id="374" w:name="_Toc25883"/>
      <w:bookmarkStart w:id="375" w:name="_Toc12761"/>
      <w:bookmarkStart w:id="376" w:name="_Toc1617"/>
      <w:r>
        <w:rPr>
          <w:rFonts w:cs="宋体" w:hint="eastAsia"/>
          <w:color w:val="auto"/>
          <w:sz w:val="30"/>
          <w:highlight w:val="white"/>
        </w:rPr>
        <w:t>第十六部分</w:t>
      </w:r>
      <w:r>
        <w:rPr>
          <w:rFonts w:cs="宋体"/>
          <w:sz w:val="30"/>
          <w:highlight w:val="white"/>
        </w:rPr>
        <w:t xml:space="preserve"> </w:t>
      </w:r>
      <w:r>
        <w:rPr>
          <w:rFonts w:cs="宋体" w:hint="eastAsia"/>
          <w:color w:val="auto"/>
          <w:sz w:val="30"/>
          <w:highlight w:val="white"/>
        </w:rPr>
        <w:t>基金</w:t>
      </w:r>
      <w:bookmarkEnd w:id="359"/>
      <w:bookmarkEnd w:id="360"/>
      <w:r>
        <w:rPr>
          <w:rFonts w:cs="宋体" w:hint="eastAsia"/>
          <w:color w:val="auto"/>
          <w:sz w:val="30"/>
          <w:highlight w:val="white"/>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9C732C">
      <w:pPr>
        <w:spacing w:line="360" w:lineRule="auto"/>
        <w:rPr>
          <w:rFonts w:ascii="宋体" w:cs="宋体"/>
          <w:sz w:val="24"/>
          <w:szCs w:val="24"/>
        </w:rPr>
      </w:pP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一、基金利润的构成</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二、基金可供分配利润</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基金可供分配利润指截至收益分配基准日基金未分配利润与未分配利润中已实现收益的孰低数。</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三、基金收益分配原则</w:t>
      </w:r>
    </w:p>
    <w:p w:rsidR="009C732C">
      <w:pPr>
        <w:spacing w:line="360" w:lineRule="auto"/>
        <w:ind w:firstLine="54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bCs/>
          <w:sz w:val="24"/>
          <w:szCs w:val="24"/>
          <w:highlight w:val="white"/>
          <w:lang w:eastAsia="zh-CN"/>
        </w:rPr>
        <w:t>在符合有关基金分红条件的前提下，基金管理人可以根据实际情况进行收益分配，具体分配方案以公告为准，</w:t>
      </w:r>
      <w:r>
        <w:rPr>
          <w:rFonts w:ascii="宋体" w:cs="宋体" w:hint="eastAsia"/>
          <w:sz w:val="24"/>
          <w:szCs w:val="24"/>
          <w:highlight w:val="white"/>
          <w:lang w:eastAsia="zh-CN"/>
        </w:rPr>
        <w:t>若《基金合同》生效不满</w:t>
      </w:r>
      <w:r>
        <w:rPr>
          <w:rFonts w:ascii="宋体" w:cs="宋体"/>
          <w:sz w:val="24"/>
          <w:szCs w:val="24"/>
          <w:highlight w:val="white"/>
          <w:lang w:eastAsia="zh-CN"/>
        </w:rPr>
        <w:t>3</w:t>
      </w:r>
      <w:r>
        <w:rPr>
          <w:rFonts w:ascii="宋体" w:cs="宋体" w:hint="eastAsia"/>
          <w:sz w:val="24"/>
          <w:szCs w:val="24"/>
          <w:highlight w:val="white"/>
          <w:lang w:eastAsia="zh-CN"/>
        </w:rPr>
        <w:t>个月可不进行收益分配；</w:t>
      </w:r>
    </w:p>
    <w:p w:rsidR="009C732C">
      <w:pPr>
        <w:spacing w:line="360" w:lineRule="auto"/>
        <w:ind w:firstLine="540"/>
        <w:rPr>
          <w:rFonts w:ascii="宋体" w:cs="宋体"/>
          <w:bCs/>
          <w:sz w:val="24"/>
          <w:szCs w:val="24"/>
          <w:lang w:eastAsia="zh-CN"/>
        </w:rPr>
      </w:pPr>
      <w:r>
        <w:rPr>
          <w:rFonts w:ascii="宋体" w:cs="宋体"/>
          <w:bCs/>
          <w:sz w:val="24"/>
          <w:szCs w:val="24"/>
          <w:highlight w:val="white"/>
          <w:lang w:eastAsia="zh-CN"/>
        </w:rPr>
        <w:t>2</w:t>
      </w:r>
      <w:r>
        <w:rPr>
          <w:rFonts w:ascii="宋体" w:cs="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cs="宋体"/>
          <w:bCs/>
          <w:sz w:val="24"/>
          <w:szCs w:val="24"/>
          <w:highlight w:val="white"/>
          <w:lang w:eastAsia="zh-CN"/>
        </w:rPr>
        <w:t>；</w:t>
      </w:r>
    </w:p>
    <w:p w:rsidR="009C732C">
      <w:pPr>
        <w:spacing w:line="360" w:lineRule="auto"/>
        <w:ind w:firstLine="54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、本基金各基金份额类别在费用收取上不同，其对应的可分配收益可能有所不同。同一类别的</w:t>
      </w:r>
      <w:r>
        <w:rPr>
          <w:rFonts w:ascii="宋体" w:cs="宋体"/>
          <w:bCs/>
          <w:sz w:val="24"/>
          <w:szCs w:val="24"/>
          <w:highlight w:val="white"/>
          <w:lang w:eastAsia="zh-CN"/>
        </w:rPr>
        <w:t>每一基金份额享有同等分配权；</w:t>
      </w:r>
    </w:p>
    <w:p w:rsidR="009C732C">
      <w:pPr>
        <w:spacing w:line="360" w:lineRule="auto"/>
        <w:ind w:firstLine="54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、在对基金份额持有人利益无实质不利影响的前提下，基金管理人</w:t>
      </w:r>
      <w:r>
        <w:rPr>
          <w:rFonts w:ascii="宋体" w:cs="宋体"/>
          <w:bCs/>
          <w:sz w:val="24"/>
          <w:szCs w:val="24"/>
          <w:highlight w:val="white"/>
          <w:lang w:eastAsia="zh-CN"/>
        </w:rPr>
        <w:t>与基金托管人协商一致后，可调整基金收益的分配原则和支付方式，不需召开基金份额持有人大会审议；</w:t>
      </w:r>
    </w:p>
    <w:p w:rsidR="009C732C">
      <w:pPr>
        <w:spacing w:line="360" w:lineRule="auto"/>
        <w:ind w:firstLine="54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、法律法规或监管机关另有规定的，从其规定。</w:t>
      </w:r>
    </w:p>
    <w:p w:rsidR="009C732C">
      <w:pPr>
        <w:spacing w:line="360" w:lineRule="auto"/>
        <w:ind w:firstLine="473"/>
        <w:rPr>
          <w:rFonts w:ascii="宋体" w:cs="宋体"/>
          <w:sz w:val="24"/>
          <w:szCs w:val="24"/>
          <w:lang w:eastAsia="zh-CN"/>
        </w:rPr>
      </w:pPr>
      <w:r>
        <w:rPr>
          <w:rFonts w:ascii="宋体" w:cs="宋体" w:hint="eastAsia"/>
          <w:sz w:val="24"/>
          <w:szCs w:val="24"/>
          <w:highlight w:val="white"/>
          <w:lang w:eastAsia="zh-CN"/>
        </w:rPr>
        <w:t>四、收益分配方案</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基金收益分配方案中应载明截止收益分配基准日的可供分配利润、基金收益分配对象、分配时间、分配数额及比例、分配方式等内容。</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五、收益分配方案的确定、公告与实施</w:t>
      </w:r>
    </w:p>
    <w:p w:rsidR="009C732C">
      <w:pPr>
        <w:spacing w:line="360" w:lineRule="auto"/>
        <w:ind w:firstLine="54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w:t>
      </w:r>
      <w:r>
        <w:rPr>
          <w:rFonts w:ascii="宋体" w:cs="宋体" w:hint="eastAsia"/>
          <w:sz w:val="24"/>
          <w:szCs w:val="24"/>
          <w:highlight w:val="white"/>
          <w:lang w:eastAsia="zh-CN"/>
        </w:rPr>
        <w:t>日内在规定媒介公告。</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六、基金收益分配中发生的费用</w:t>
      </w:r>
    </w:p>
    <w:p w:rsidR="009C732C">
      <w:pPr>
        <w:spacing w:line="360" w:lineRule="auto"/>
        <w:ind w:firstLine="54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w:t>
      </w:r>
      <w:r>
        <w:rPr>
          <w:rFonts w:ascii="宋体" w:cs="宋体"/>
          <w:bCs/>
          <w:sz w:val="24"/>
          <w:szCs w:val="24"/>
          <w:highlight w:val="white"/>
          <w:lang w:eastAsia="zh-CN"/>
        </w:rPr>
        <w:t>当投资者的现金红利小于一定金额</w:t>
      </w:r>
      <w:r>
        <w:rPr>
          <w:rFonts w:ascii="宋体" w:cs="宋体" w:hint="eastAsia"/>
          <w:sz w:val="24"/>
          <w:szCs w:val="24"/>
          <w:highlight w:val="white"/>
          <w:lang w:eastAsia="zh-CN"/>
        </w:rPr>
        <w:t>，不足以支付银行转账或其他手续费用时，</w:t>
      </w:r>
      <w:r>
        <w:rPr>
          <w:rFonts w:ascii="宋体" w:cs="宋体"/>
          <w:bCs/>
          <w:sz w:val="24"/>
          <w:szCs w:val="24"/>
          <w:highlight w:val="white"/>
          <w:lang w:eastAsia="zh-CN"/>
        </w:rPr>
        <w:t>基金登记机构可将基金份额持有人的现金红利自动转为</w:t>
      </w:r>
      <w:r>
        <w:rPr>
          <w:rFonts w:ascii="宋体" w:cs="宋体" w:hint="eastAsia"/>
          <w:bCs/>
          <w:sz w:val="24"/>
          <w:szCs w:val="24"/>
          <w:highlight w:val="white"/>
          <w:lang w:eastAsia="zh-CN"/>
        </w:rPr>
        <w:t>对应类别的</w:t>
      </w:r>
      <w:r>
        <w:rPr>
          <w:rFonts w:ascii="宋体" w:cs="宋体"/>
          <w:bCs/>
          <w:sz w:val="24"/>
          <w:szCs w:val="24"/>
          <w:highlight w:val="white"/>
          <w:lang w:eastAsia="zh-CN"/>
        </w:rPr>
        <w:t>基金份额。</w:t>
      </w:r>
      <w:r>
        <w:rPr>
          <w:rFonts w:ascii="宋体" w:cs="宋体" w:hint="eastAsia"/>
          <w:sz w:val="24"/>
          <w:szCs w:val="24"/>
          <w:highlight w:val="white"/>
          <w:lang w:eastAsia="zh-CN"/>
        </w:rPr>
        <w:t>红利再投资的计算方法，依照《业务规则》执行。</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七、实施侧袋机制期间的收益分配</w:t>
      </w:r>
    </w:p>
    <w:p w:rsidR="009C732C">
      <w:pPr>
        <w:spacing w:line="360" w:lineRule="auto"/>
        <w:ind w:firstLine="540"/>
        <w:rPr>
          <w:rFonts w:ascii="宋体" w:cs="宋体"/>
          <w:sz w:val="24"/>
          <w:szCs w:val="24"/>
          <w:lang w:eastAsia="zh-CN"/>
        </w:rPr>
      </w:pPr>
      <w:r>
        <w:rPr>
          <w:rFonts w:ascii="宋体" w:cs="宋体" w:hint="eastAsia"/>
          <w:sz w:val="24"/>
          <w:szCs w:val="24"/>
          <w:highlight w:val="white"/>
          <w:lang w:eastAsia="zh-CN"/>
        </w:rPr>
        <w:t>本基金实施侧袋机制的，侧袋账户不进行收益分配，详见招募说明书的规定。</w:t>
      </w:r>
    </w:p>
    <w:p w:rsidR="009C732C">
      <w:pPr>
        <w:pStyle w:val="11"/>
        <w:spacing w:before="0" w:after="0"/>
        <w:jc w:val="center"/>
        <w:rPr>
          <w:rFonts w:cs="宋体"/>
          <w:color w:val="auto"/>
          <w:sz w:val="30"/>
          <w:lang w:eastAsia="zh-CN"/>
        </w:rPr>
      </w:pPr>
      <w:r>
        <w:rPr>
          <w:rFonts w:cs="宋体"/>
          <w:b w:val="0"/>
          <w:color w:val="auto"/>
          <w:sz w:val="21"/>
          <w:highlight w:val="white"/>
          <w:lang w:eastAsia="zh-CN"/>
        </w:rPr>
        <w:br w:type="page"/>
      </w:r>
      <w:bookmarkStart w:id="377" w:name="_Toc92662708"/>
      <w:bookmarkStart w:id="378" w:name="_Toc93226150"/>
      <w:bookmarkStart w:id="379" w:name="_Toc139991747"/>
      <w:bookmarkStart w:id="380" w:name="_Toc141703897"/>
      <w:bookmarkStart w:id="381" w:name="_Toc13255"/>
      <w:bookmarkStart w:id="382" w:name="_Toc31736"/>
      <w:bookmarkStart w:id="383" w:name="_Toc10894"/>
      <w:bookmarkStart w:id="384" w:name="_Toc6327222"/>
      <w:bookmarkStart w:id="385" w:name="_Toc18007"/>
      <w:bookmarkStart w:id="386" w:name="_Toc28961"/>
      <w:bookmarkStart w:id="387" w:name="_Toc446339255"/>
      <w:bookmarkStart w:id="388" w:name="_Toc29695"/>
      <w:bookmarkStart w:id="389" w:name="_Toc17499"/>
      <w:bookmarkStart w:id="390" w:name="_Toc23859"/>
      <w:bookmarkStart w:id="391" w:name="_Toc1043"/>
      <w:bookmarkStart w:id="392" w:name="_Toc128310500"/>
      <w:bookmarkStart w:id="393" w:name="_Toc21206"/>
      <w:bookmarkStart w:id="394" w:name="_Toc18747"/>
      <w:r>
        <w:rPr>
          <w:rFonts w:cs="宋体" w:hint="eastAsia"/>
          <w:color w:val="auto"/>
          <w:sz w:val="30"/>
          <w:highlight w:val="white"/>
          <w:lang w:eastAsia="zh-CN"/>
        </w:rPr>
        <w:t>第十七部分</w:t>
      </w:r>
      <w:r>
        <w:rPr>
          <w:rFonts w:cs="宋体"/>
          <w:sz w:val="30"/>
          <w:highlight w:val="white"/>
          <w:lang w:eastAsia="zh-CN"/>
        </w:rPr>
        <w:t xml:space="preserve"> </w:t>
      </w:r>
      <w:r>
        <w:rPr>
          <w:rFonts w:cs="宋体" w:hint="eastAsia"/>
          <w:color w:val="auto"/>
          <w:sz w:val="30"/>
          <w:highlight w:val="white"/>
          <w:lang w:eastAsia="zh-CN"/>
        </w:rPr>
        <w:t>基金</w:t>
      </w:r>
      <w:bookmarkEnd w:id="377"/>
      <w:bookmarkEnd w:id="378"/>
      <w:r>
        <w:rPr>
          <w:rFonts w:cs="宋体" w:hint="eastAsia"/>
          <w:color w:val="auto"/>
          <w:sz w:val="30"/>
          <w:highlight w:val="white"/>
          <w:lang w:eastAsia="zh-CN"/>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9C732C">
      <w:pPr>
        <w:spacing w:line="360" w:lineRule="auto"/>
        <w:ind w:firstLine="482"/>
        <w:rPr>
          <w:rFonts w:ascii="宋体" w:cs="宋体"/>
          <w:sz w:val="24"/>
          <w:szCs w:val="24"/>
          <w:lang w:eastAsia="zh-CN"/>
        </w:rPr>
      </w:pP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一、基金会计政策</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、基金管理人为本基金的基金会计责任方；</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、基金的会计年度为公历年度的</w:t>
      </w:r>
      <w:r>
        <w:rPr>
          <w:rFonts w:ascii="宋体" w:cs="宋体"/>
          <w:sz w:val="24"/>
          <w:szCs w:val="24"/>
          <w:highlight w:val="white"/>
          <w:lang w:eastAsia="zh-CN"/>
        </w:rPr>
        <w:t>1</w:t>
      </w:r>
      <w:r>
        <w:rPr>
          <w:rFonts w:ascii="宋体" w:cs="宋体" w:hint="eastAsia"/>
          <w:sz w:val="24"/>
          <w:szCs w:val="24"/>
          <w:highlight w:val="white"/>
          <w:lang w:eastAsia="zh-CN"/>
        </w:rPr>
        <w:t>月</w:t>
      </w:r>
      <w:r>
        <w:rPr>
          <w:rFonts w:ascii="宋体" w:cs="宋体"/>
          <w:sz w:val="24"/>
          <w:szCs w:val="24"/>
          <w:highlight w:val="white"/>
          <w:lang w:eastAsia="zh-CN"/>
        </w:rPr>
        <w:t>1</w:t>
      </w:r>
      <w:r>
        <w:rPr>
          <w:rFonts w:ascii="宋体" w:cs="宋体" w:hint="eastAsia"/>
          <w:sz w:val="24"/>
          <w:szCs w:val="24"/>
          <w:highlight w:val="white"/>
          <w:lang w:eastAsia="zh-CN"/>
        </w:rPr>
        <w:t>日至</w:t>
      </w:r>
      <w:r>
        <w:rPr>
          <w:rFonts w:ascii="宋体" w:cs="宋体"/>
          <w:sz w:val="24"/>
          <w:szCs w:val="24"/>
          <w:highlight w:val="white"/>
          <w:lang w:eastAsia="zh-CN"/>
        </w:rPr>
        <w:t>12</w:t>
      </w:r>
      <w:r>
        <w:rPr>
          <w:rFonts w:ascii="宋体" w:cs="宋体" w:hint="eastAsia"/>
          <w:sz w:val="24"/>
          <w:szCs w:val="24"/>
          <w:highlight w:val="white"/>
          <w:lang w:eastAsia="zh-CN"/>
        </w:rPr>
        <w:t>月</w:t>
      </w:r>
      <w:r>
        <w:rPr>
          <w:rFonts w:ascii="宋体" w:cs="宋体"/>
          <w:sz w:val="24"/>
          <w:szCs w:val="24"/>
          <w:highlight w:val="white"/>
          <w:lang w:eastAsia="zh-CN"/>
        </w:rPr>
        <w:t>31</w:t>
      </w:r>
      <w:r>
        <w:rPr>
          <w:rFonts w:ascii="宋体" w:cs="宋体" w:hint="eastAsia"/>
          <w:sz w:val="24"/>
          <w:szCs w:val="24"/>
          <w:highlight w:val="white"/>
          <w:lang w:eastAsia="zh-CN"/>
        </w:rPr>
        <w:t>日；</w:t>
      </w:r>
      <w:r>
        <w:rPr>
          <w:rFonts w:ascii="宋体" w:cs="宋体"/>
          <w:bCs/>
          <w:sz w:val="24"/>
          <w:szCs w:val="24"/>
          <w:highlight w:val="white"/>
          <w:lang w:eastAsia="zh-CN"/>
        </w:rPr>
        <w:t>基金首次募集的会计年度按如下原则：如果《基金合同》生效少于2个月，可以并入下一个会计年度；</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、基金核算以人民币为记账本位币，以人民币元为记账单位；</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、会计制度执行国家有关会计制度；</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、本基金独立建账、独立核算；</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、基金管理人及基金托管人各自保留完整的会计账目、凭证并进行日常的会计核算，按照有关规定编制基金会计报表；</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、基金托管人每月与基金管理人就基金的会计核算、报表编制等进行核对确认。</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二、基金的年度审计</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、会计师事务所更换经办注册会计师，应事先征得基金管理人同意。</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bookmarkStart w:id="395" w:name="_Hlt4221115"/>
      <w:bookmarkEnd w:id="395"/>
      <w:r>
        <w:rPr>
          <w:rFonts w:ascii="宋体" w:cs="宋体" w:hint="eastAsia"/>
          <w:sz w:val="24"/>
          <w:szCs w:val="24"/>
          <w:highlight w:val="white"/>
          <w:lang w:eastAsia="zh-CN"/>
        </w:rPr>
        <w:t>基金管理人认为有充足理由更换会计师事务所，须通报基金托管人。更换会计师事务所需在</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9C732C">
      <w:pPr>
        <w:pStyle w:val="11"/>
        <w:spacing w:before="0" w:after="0"/>
        <w:jc w:val="center"/>
        <w:rPr>
          <w:rFonts w:cs="宋体"/>
          <w:color w:val="auto"/>
          <w:sz w:val="30"/>
        </w:rPr>
      </w:pPr>
      <w:r>
        <w:rPr>
          <w:rFonts w:cs="宋体"/>
          <w:b w:val="0"/>
          <w:color w:val="auto"/>
          <w:highlight w:val="white"/>
          <w:lang w:eastAsia="zh-CN"/>
        </w:rPr>
        <w:br w:type="page"/>
      </w:r>
      <w:bookmarkStart w:id="396" w:name="_Toc92662709"/>
      <w:bookmarkStart w:id="397" w:name="_Toc93226151"/>
      <w:bookmarkStart w:id="398" w:name="_Toc141703898"/>
      <w:bookmarkStart w:id="399" w:name="_Toc1173"/>
      <w:bookmarkStart w:id="400" w:name="_Toc12028"/>
      <w:bookmarkStart w:id="401" w:name="_Toc139991748"/>
      <w:bookmarkStart w:id="402" w:name="_Toc8512"/>
      <w:bookmarkStart w:id="403" w:name="_Toc6327223"/>
      <w:bookmarkStart w:id="404" w:name="_Toc3056"/>
      <w:bookmarkStart w:id="405" w:name="_Toc446339256"/>
      <w:bookmarkStart w:id="406" w:name="_Toc11049"/>
      <w:bookmarkStart w:id="407" w:name="_Toc11802"/>
      <w:bookmarkStart w:id="408" w:name="_Toc128310501"/>
      <w:bookmarkStart w:id="409" w:name="_Toc29289"/>
      <w:bookmarkStart w:id="410" w:name="_Toc21351"/>
      <w:bookmarkStart w:id="411" w:name="_Toc193"/>
      <w:bookmarkStart w:id="412" w:name="_Toc1421"/>
      <w:bookmarkStart w:id="413" w:name="_Toc31866"/>
      <w:r>
        <w:rPr>
          <w:rFonts w:cs="宋体" w:hint="eastAsia"/>
          <w:color w:val="auto"/>
          <w:sz w:val="30"/>
          <w:highlight w:val="white"/>
        </w:rPr>
        <w:t>第十八部分</w:t>
      </w:r>
      <w:r>
        <w:rPr>
          <w:rFonts w:cs="宋体"/>
          <w:sz w:val="30"/>
          <w:highlight w:val="white"/>
        </w:rPr>
        <w:t xml:space="preserve"> </w:t>
      </w:r>
      <w:r>
        <w:rPr>
          <w:rFonts w:cs="宋体" w:hint="eastAsia"/>
          <w:color w:val="auto"/>
          <w:sz w:val="30"/>
          <w:highlight w:val="white"/>
        </w:rPr>
        <w:t>基金</w:t>
      </w:r>
      <w:bookmarkEnd w:id="396"/>
      <w:bookmarkEnd w:id="397"/>
      <w:r>
        <w:rPr>
          <w:rFonts w:cs="宋体" w:hint="eastAsia"/>
          <w:color w:val="auto"/>
          <w:sz w:val="30"/>
          <w:highlight w:val="white"/>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9C732C">
      <w:pPr>
        <w:spacing w:line="360" w:lineRule="auto"/>
        <w:ind w:firstLine="480"/>
        <w:rPr>
          <w:rFonts w:ascii="宋体" w:cs="宋体"/>
          <w:sz w:val="24"/>
          <w:szCs w:val="24"/>
        </w:rPr>
      </w:pP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一、本基金的信息披露应符合《基金法》《运作办法》《信息披露办法》《流动性风险管理规定》《基金合同》及其他有关规定。</w:t>
      </w:r>
      <w:r>
        <w:rPr>
          <w:rFonts w:ascii="宋体" w:cs="宋体" w:hint="eastAsia"/>
          <w:bCs/>
          <w:sz w:val="24"/>
          <w:szCs w:val="24"/>
          <w:highlight w:val="white"/>
          <w:lang w:eastAsia="zh-CN"/>
        </w:rPr>
        <w:t>相关法律法规关于信息披露的披露内容、披露方式、披露时间、登载媒介、报备方式等规定发生变化时，本基金从其最新规定。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二、信息披露义务人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三、本基金信息披露义务人承诺公开披露的基金信息，不得有下列行为：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、虚假记载、误导性陈述或者重大遗漏；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、对证券投资业绩进行预测；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、违规承诺收益或者承担损失；</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、诋毁其他基金管理人、基金托管人或者基金销售机构；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、登载任何自然人、法人和非法人组织的祝贺性、恭维性或推荐性的文字；</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、中国证监会禁止的其他行为。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本基金公开披露的信息采用阿拉伯数字；</w:t>
      </w:r>
      <w:r>
        <w:rPr>
          <w:rFonts w:ascii="宋体" w:cs="宋体"/>
          <w:bCs/>
          <w:sz w:val="24"/>
          <w:szCs w:val="24"/>
          <w:highlight w:val="white"/>
          <w:lang w:eastAsia="zh-CN"/>
        </w:rPr>
        <w:t>除特别说明外，货币单位为人民币元。</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五、公开披露的基金信息</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公开披露的基金信息包括：</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（一）基金招募说明书、《基金合同》、基金托管协议、基金产品资料概要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、基金托管协议是界定基金托管人和基金管理人在基金财产保管及基金运作监督等活动中的权利、义务关系的法律文件。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（二）基金份额发售公告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基金管理人应当就基金份额发售的具体事宜编制基金份额发售公告，并在披露招募说明书的当日登载于规定媒介上。</w:t>
      </w:r>
    </w:p>
    <w:p w:rsidR="009C732C">
      <w:pPr>
        <w:spacing w:line="360" w:lineRule="auto"/>
        <w:ind w:firstLine="480"/>
        <w:rPr>
          <w:rFonts w:ascii="宋体" w:cs="宋体"/>
          <w:sz w:val="24"/>
          <w:szCs w:val="24"/>
        </w:rPr>
      </w:pPr>
      <w:r>
        <w:rPr>
          <w:rFonts w:ascii="宋体" w:cs="宋体" w:hint="eastAsia"/>
          <w:sz w:val="24"/>
          <w:szCs w:val="24"/>
          <w:highlight w:val="white"/>
        </w:rPr>
        <w:t>（三）《基金合同》生效公告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基金管理人应当在收到中国证监会确认文件的次日在规定媒介上登载《基金合同》生效公告。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（四）基金净值信息</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《基金合同》生效后，在开始办理基金份额申购或者赎回前，基金管理人应当至少每周在规定网站披露一次各类基金份额净值和基金份额累计净值。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在开始办理基金份额申购或者赎回后，基金管理人应当在不晚于每个开放日的次日，通过规定网站、基金销售机构网站或者营业网点披露开放日的各类基金份额净值和基金份额累计净值。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基金管理人应当在不晚于半年度和年度最后一日的次日，在规定网站披露半年度和年度最后一日的各类基金份额净值和基金份额累计净值。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（五）基金份额申购、赎回价格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（六）基金定期报告，包括基金年度报告、基金中期报告和基金季度报告</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基金管理人应当在季度结束之日起</w:t>
      </w:r>
      <w:r>
        <w:rPr>
          <w:rFonts w:ascii="宋体" w:cs="宋体"/>
          <w:bCs/>
          <w:sz w:val="24"/>
          <w:szCs w:val="24"/>
          <w:highlight w:val="white"/>
          <w:lang w:eastAsia="zh-CN"/>
        </w:rPr>
        <w:t>15</w:t>
      </w:r>
      <w:r>
        <w:rPr>
          <w:rFonts w:ascii="宋体" w:cs="宋体" w:hint="eastAsia"/>
          <w:bCs/>
          <w:sz w:val="24"/>
          <w:szCs w:val="24"/>
          <w:highlight w:val="white"/>
          <w:lang w:eastAsia="zh-CN"/>
        </w:rPr>
        <w:t>个工作日内，编制完成基金季度报告，将季度报告登载在规定网站上，并将季度报告提示性公告登载在规定报刊上。</w:t>
      </w:r>
    </w:p>
    <w:p w:rsidR="009C732C">
      <w:pPr>
        <w:spacing w:line="360" w:lineRule="auto"/>
        <w:ind w:firstLine="480"/>
        <w:rPr>
          <w:rFonts w:ascii="宋体" w:cs="宋体"/>
          <w:sz w:val="24"/>
          <w:szCs w:val="24"/>
          <w:lang w:eastAsia="zh-CN"/>
        </w:rPr>
      </w:pPr>
      <w:r>
        <w:rPr>
          <w:rFonts w:ascii="宋体" w:cs="宋体" w:hint="eastAsia"/>
          <w:bCs/>
          <w:sz w:val="24"/>
          <w:szCs w:val="24"/>
          <w:highlight w:val="white"/>
          <w:lang w:eastAsia="zh-CN"/>
        </w:rPr>
        <w:t>《基金合同》生效不足</w:t>
      </w:r>
      <w:r>
        <w:rPr>
          <w:rFonts w:ascii="宋体" w:cs="宋体"/>
          <w:bCs/>
          <w:sz w:val="24"/>
          <w:szCs w:val="24"/>
          <w:highlight w:val="white"/>
          <w:lang w:eastAsia="zh-CN"/>
        </w:rPr>
        <w:t>2</w:t>
      </w:r>
      <w:r>
        <w:rPr>
          <w:rFonts w:ascii="宋体" w:cs="宋体" w:hint="eastAsia"/>
          <w:bCs/>
          <w:sz w:val="24"/>
          <w:szCs w:val="24"/>
          <w:highlight w:val="white"/>
          <w:lang w:eastAsia="zh-CN"/>
        </w:rPr>
        <w:t>个月的，基金管理人可以不编制当期季度报告、中期报告或者年度报告。</w:t>
      </w:r>
    </w:p>
    <w:p w:rsidR="009C732C">
      <w:pPr>
        <w:spacing w:line="360" w:lineRule="auto"/>
        <w:ind w:firstLine="480"/>
        <w:rPr>
          <w:rFonts w:ascii="宋体" w:cs="宋体"/>
          <w:bCs/>
          <w:sz w:val="24"/>
          <w:szCs w:val="24"/>
          <w:lang w:eastAsia="zh-CN"/>
        </w:rPr>
      </w:pPr>
      <w:r>
        <w:rPr>
          <w:rFonts w:asci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highlight w:val="white"/>
          <w:lang w:eastAsia="zh-CN"/>
        </w:rPr>
        <w:t>“</w:t>
      </w:r>
      <w:r>
        <w:rPr>
          <w:rFonts w:ascii="宋体" w:cs="宋体"/>
          <w:bCs/>
          <w:sz w:val="24"/>
          <w:szCs w:val="24"/>
          <w:highlight w:val="white"/>
          <w:lang w:eastAsia="zh-CN"/>
        </w:rPr>
        <w:t>影响投资者决策的其他重要信息</w:t>
      </w:r>
      <w:r>
        <w:rPr>
          <w:rFonts w:ascii="宋体" w:cs="宋体" w:hint="eastAsia"/>
          <w:bCs/>
          <w:sz w:val="24"/>
          <w:szCs w:val="24"/>
          <w:highlight w:val="white"/>
          <w:lang w:eastAsia="zh-CN"/>
        </w:rPr>
        <w:t>”</w:t>
      </w:r>
      <w:r>
        <w:rPr>
          <w:rFonts w:ascii="宋体" w:cs="宋体"/>
          <w:bCs/>
          <w:sz w:val="24"/>
          <w:szCs w:val="24"/>
          <w:highlight w:val="white"/>
          <w:lang w:eastAsia="zh-CN"/>
        </w:rPr>
        <w:t>项下披露该投资者的类别、报告期末持有份额及占比、报告期内持有份额变化情况及本基金的特有风险，中国证监会认定的特殊情形除外。</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基金管理人应当在基金年度报告和</w:t>
      </w:r>
      <w:r>
        <w:rPr>
          <w:rFonts w:ascii="宋体" w:cs="宋体" w:hint="eastAsia"/>
          <w:bCs/>
          <w:sz w:val="24"/>
          <w:szCs w:val="24"/>
          <w:highlight w:val="white"/>
          <w:lang w:eastAsia="zh-CN"/>
        </w:rPr>
        <w:t>中期</w:t>
      </w:r>
      <w:r>
        <w:rPr>
          <w:rFonts w:ascii="宋体" w:cs="宋体"/>
          <w:bCs/>
          <w:sz w:val="24"/>
          <w:szCs w:val="24"/>
          <w:highlight w:val="white"/>
          <w:lang w:eastAsia="zh-CN"/>
        </w:rPr>
        <w:t>报告中披露基金组合资产情况及其流动性风险分析等。</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（七）临时报告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本基金发生重大事件，有关信息披露义务人应当在2日内编制临时报告书，并登载在规定报刊和规定网站上。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前款所称重大事件，是指可能对基金份额持有人权益或者基金份额的价格产生重大影响的下列事件：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、基金份额持有人大会的召开及决定的事项；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、基金合同终止、基金清算；</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、转换基金运作方式、基金合并；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、更换基金管理人、基金托管人、基金份额登记机构，基金改聘会计师事务所；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、基金管理人、基金托管人的法定名称、住所发生变更；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、基金管理公司变更持有百分之五以上股权的股东、基金管理人的实际控制人变更；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、基金募集期延长或提前结束募集；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、基金管理人的高级管理人员、基金经理和基金托管人专门基金托管部门负责人发生变动；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、基金管理人的董事在最近</w:t>
      </w:r>
      <w:r>
        <w:rPr>
          <w:rFonts w:ascii="宋体" w:cs="宋体"/>
          <w:sz w:val="24"/>
          <w:szCs w:val="24"/>
          <w:highlight w:val="white"/>
          <w:lang w:eastAsia="zh-CN"/>
        </w:rPr>
        <w:t>12</w:t>
      </w:r>
      <w:r>
        <w:rPr>
          <w:rFonts w:ascii="宋体" w:cs="宋体" w:hint="eastAsia"/>
          <w:sz w:val="24"/>
          <w:szCs w:val="24"/>
          <w:highlight w:val="white"/>
          <w:lang w:eastAsia="zh-CN"/>
        </w:rPr>
        <w:t>个月内变更超过百分之五十，基金管理人、基金托管人专门基金托管部门的主要业务人员在最近</w:t>
      </w:r>
      <w:r>
        <w:rPr>
          <w:rFonts w:ascii="宋体" w:cs="宋体"/>
          <w:sz w:val="24"/>
          <w:szCs w:val="24"/>
          <w:highlight w:val="white"/>
          <w:lang w:eastAsia="zh-CN"/>
        </w:rPr>
        <w:t>12</w:t>
      </w:r>
      <w:r>
        <w:rPr>
          <w:rFonts w:ascii="宋体" w:cs="宋体" w:hint="eastAsia"/>
          <w:sz w:val="24"/>
          <w:szCs w:val="24"/>
          <w:highlight w:val="white"/>
          <w:lang w:eastAsia="zh-CN"/>
        </w:rPr>
        <w:t>个月内变动超过百分之三十；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w:t>
      </w:r>
      <w:r>
        <w:rPr>
          <w:rFonts w:ascii="宋体" w:cs="宋体" w:hint="eastAsia"/>
          <w:sz w:val="24"/>
          <w:szCs w:val="24"/>
          <w:highlight w:val="white"/>
          <w:lang w:eastAsia="zh-CN"/>
        </w:rPr>
        <w:t>、涉及基金财产、基金管理业务、基金托管业务的诉讼或仲裁；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w:t>
      </w:r>
      <w:r>
        <w:rPr>
          <w:rFonts w:asci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w:t>
      </w:r>
      <w:r>
        <w:rPr>
          <w:rFonts w:asci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、基金收益分配事项；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15</w:t>
      </w:r>
      <w:r>
        <w:rPr>
          <w:rFonts w:ascii="宋体" w:cs="宋体" w:hint="eastAsia"/>
          <w:sz w:val="24"/>
          <w:szCs w:val="24"/>
          <w:highlight w:val="white"/>
          <w:lang w:eastAsia="zh-CN"/>
        </w:rPr>
        <w:t>、管理费、托管费、销售服务费、申购费、赎回费等费用计提标准、计提方式和费率发生变更；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16</w:t>
      </w:r>
      <w:r>
        <w:rPr>
          <w:rFonts w:ascii="宋体" w:cs="宋体" w:hint="eastAsia"/>
          <w:sz w:val="24"/>
          <w:szCs w:val="24"/>
          <w:highlight w:val="white"/>
          <w:lang w:eastAsia="zh-CN"/>
        </w:rPr>
        <w:t>、</w:t>
      </w:r>
      <w:r>
        <w:rPr>
          <w:rFonts w:ascii="宋体" w:cs="宋体"/>
          <w:sz w:val="24"/>
          <w:szCs w:val="24"/>
          <w:highlight w:val="white"/>
          <w:lang w:eastAsia="zh-CN"/>
        </w:rPr>
        <w:t>任一类基金份额净值计价错误达该类基金份额净值百分之零点五；</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17</w:t>
      </w:r>
      <w:r>
        <w:rPr>
          <w:rFonts w:ascii="宋体" w:cs="宋体" w:hint="eastAsia"/>
          <w:sz w:val="24"/>
          <w:szCs w:val="24"/>
          <w:highlight w:val="white"/>
          <w:lang w:eastAsia="zh-CN"/>
        </w:rPr>
        <w:t>、本基金开始办理申购、赎回；</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w:t>
      </w:r>
      <w:r>
        <w:rPr>
          <w:rFonts w:ascii="宋体" w:cs="宋体" w:hint="eastAsia"/>
          <w:sz w:val="24"/>
          <w:szCs w:val="24"/>
          <w:highlight w:val="white"/>
          <w:lang w:eastAsia="zh-CN"/>
        </w:rPr>
        <w:t>、本基金发生巨额赎回并延期办理；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19</w:t>
      </w:r>
      <w:r>
        <w:rPr>
          <w:rFonts w:ascii="宋体" w:cs="宋体" w:hint="eastAsia"/>
          <w:sz w:val="24"/>
          <w:szCs w:val="24"/>
          <w:highlight w:val="white"/>
          <w:lang w:eastAsia="zh-CN"/>
        </w:rPr>
        <w:t>、本基金连续发生巨额赎回并暂停接受赎回申请或延缓支付赎回款项；</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、本基金暂停接受申购、赎回申请或重新接受申购、赎回申请；</w:t>
      </w:r>
    </w:p>
    <w:p w:rsidR="009C732C">
      <w:pPr>
        <w:spacing w:line="360" w:lineRule="auto"/>
        <w:ind w:firstLine="480"/>
        <w:rPr>
          <w:rFonts w:ascii="宋体" w:cs="宋体"/>
          <w:sz w:val="24"/>
          <w:szCs w:val="24"/>
          <w:lang w:eastAsia="zh-CN"/>
        </w:rPr>
      </w:pPr>
      <w:r>
        <w:rPr>
          <w:rFonts w:ascii="宋体" w:cs="宋体"/>
          <w:bCs/>
          <w:sz w:val="24"/>
          <w:szCs w:val="24"/>
          <w:highlight w:val="white"/>
          <w:lang w:eastAsia="zh-CN"/>
        </w:rPr>
        <w:t>21</w:t>
      </w:r>
      <w:r>
        <w:rPr>
          <w:rFonts w:ascii="宋体" w:cs="宋体" w:hint="eastAsia"/>
          <w:sz w:val="24"/>
          <w:szCs w:val="24"/>
          <w:highlight w:val="white"/>
          <w:lang w:eastAsia="zh-CN"/>
        </w:rPr>
        <w:t>、调整基金份额类别的设置；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22</w:t>
      </w:r>
      <w:r>
        <w:rPr>
          <w:rFonts w:ascii="宋体" w:cs="宋体" w:hint="eastAsia"/>
          <w:sz w:val="24"/>
          <w:szCs w:val="24"/>
          <w:highlight w:val="white"/>
          <w:lang w:eastAsia="zh-CN"/>
        </w:rPr>
        <w:t>、基金推出新业务或服务；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23</w:t>
      </w:r>
      <w:r>
        <w:rPr>
          <w:rFonts w:ascii="宋体" w:cs="宋体" w:hint="eastAsia"/>
          <w:sz w:val="24"/>
          <w:szCs w:val="24"/>
          <w:highlight w:val="white"/>
          <w:lang w:eastAsia="zh-CN"/>
        </w:rPr>
        <w:t>、发生涉及基金申购、赎回事项调整或潜在影响投资者赎回等重大事项时；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24</w:t>
      </w:r>
      <w:r>
        <w:rPr>
          <w:rFonts w:ascii="宋体" w:cs="宋体" w:hint="eastAsia"/>
          <w:sz w:val="24"/>
          <w:szCs w:val="24"/>
          <w:highlight w:val="white"/>
          <w:lang w:eastAsia="zh-CN"/>
        </w:rPr>
        <w:t>、基金管理人采用摆动定价机制进行估值；</w:t>
      </w:r>
    </w:p>
    <w:p w:rsidR="009C732C">
      <w:pPr>
        <w:spacing w:line="360" w:lineRule="auto"/>
        <w:ind w:firstLine="480"/>
        <w:rPr>
          <w:rFonts w:ascii="宋体"/>
          <w:bCs/>
          <w:sz w:val="24"/>
          <w:lang w:eastAsia="zh-CN"/>
        </w:rPr>
      </w:pPr>
      <w:r>
        <w:rPr>
          <w:rFonts w:ascii="宋体" w:cs="宋体" w:hint="eastAsia"/>
          <w:sz w:val="24"/>
          <w:szCs w:val="24"/>
          <w:highlight w:val="white"/>
          <w:lang w:eastAsia="zh-CN"/>
        </w:rPr>
        <w:t>2</w:t>
      </w: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变更；</w:t>
      </w:r>
    </w:p>
    <w:p w:rsidR="009C732C">
      <w:pPr>
        <w:spacing w:line="360" w:lineRule="auto"/>
        <w:ind w:firstLine="480"/>
        <w:rPr>
          <w:rFonts w:ascii="宋体" w:cs="宋体"/>
          <w:sz w:val="24"/>
          <w:szCs w:val="24"/>
          <w:lang w:eastAsia="zh-CN"/>
        </w:rPr>
      </w:pPr>
      <w:r>
        <w:rPr>
          <w:rFonts w:ascii="宋体" w:hint="eastAsia"/>
          <w:bCs/>
          <w:sz w:val="24"/>
          <w:highlight w:val="white"/>
          <w:lang w:eastAsia="zh-CN"/>
        </w:rPr>
        <w:t>2</w:t>
      </w:r>
      <w:r>
        <w:rPr>
          <w:rFonts w:ascii="宋体"/>
          <w:bCs/>
          <w:sz w:val="24"/>
          <w:highlight w:val="white"/>
          <w:lang w:eastAsia="zh-CN"/>
        </w:rPr>
        <w:t>6</w:t>
      </w:r>
      <w:r>
        <w:rPr>
          <w:rFonts w:ascii="宋体" w:hint="eastAsia"/>
          <w:bCs/>
          <w:sz w:val="24"/>
          <w:highlight w:val="white"/>
          <w:lang w:eastAsia="zh-CN"/>
        </w:rPr>
        <w:t>、</w:t>
      </w:r>
      <w:r>
        <w:rPr>
          <w:rFonts w:asci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（八）澄清公告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（九）清算报告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（十）基金份额持有人大会决议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基金份额持有人大会决定的事项，应当依法报中国证监会备案，并予以公告。</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（十一）实施侧袋机制期间的信息披露</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（十二）中国证监会规定的其他信息</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若本基金投资股指期货、国债期货、资产支持证券、股票期权，参与融资</w:t>
      </w:r>
      <w:r>
        <w:rPr>
          <w:rFonts w:ascii="宋体" w:cs="宋体"/>
          <w:bCs/>
          <w:sz w:val="24"/>
          <w:szCs w:val="24"/>
          <w:highlight w:val="white"/>
          <w:lang w:eastAsia="zh-CN"/>
        </w:rPr>
        <w:t>及转融通证券出借业务，基金管理人将按相关法律法规要求进行披露。</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当相关法律法规关于上述信息披露的规定发生变化时，基金管理人将按最新规定进行信息披露。</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六、信息披露事务管理</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基金管理人、基金托管人应当建立健全信息披露管理制度，指定专门部门及高级管理人员负责管理信息披露事务。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基金信息披露义务人公开披露基金信息，应当符合中国证监会相关基金信息披露内容与格式准则等法规的规定。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七、信息披露文件的存放与查阅</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9C732C">
      <w:pPr>
        <w:pStyle w:val="11"/>
        <w:spacing w:before="0" w:after="0"/>
        <w:jc w:val="center"/>
        <w:rPr>
          <w:rFonts w:cs="宋体"/>
          <w:color w:val="auto"/>
          <w:sz w:val="30"/>
          <w:lang w:eastAsia="zh-CN"/>
        </w:rPr>
      </w:pPr>
      <w:r>
        <w:rPr>
          <w:rFonts w:cs="宋体"/>
          <w:b w:val="0"/>
          <w:bCs/>
          <w:color w:val="auto"/>
          <w:sz w:val="21"/>
          <w:highlight w:val="white"/>
          <w:lang w:eastAsia="zh-CN"/>
        </w:rPr>
        <w:br w:type="page"/>
      </w:r>
      <w:bookmarkStart w:id="414" w:name="_Toc9005"/>
      <w:bookmarkStart w:id="415" w:name="_Toc123051465"/>
      <w:bookmarkStart w:id="416" w:name="_Toc123102466"/>
      <w:bookmarkStart w:id="417" w:name="_Toc6237"/>
      <w:bookmarkStart w:id="418" w:name="_Toc8059"/>
      <w:bookmarkStart w:id="419" w:name="_Toc6327224"/>
      <w:bookmarkStart w:id="420" w:name="_Toc10006"/>
      <w:bookmarkStart w:id="421" w:name="_Toc8049"/>
      <w:bookmarkStart w:id="422" w:name="_Toc27464"/>
      <w:bookmarkStart w:id="423" w:name="_Toc29891"/>
      <w:bookmarkStart w:id="424" w:name="_Toc22978"/>
      <w:bookmarkStart w:id="425" w:name="_Toc7170"/>
      <w:bookmarkStart w:id="426" w:name="_Toc141703899"/>
      <w:bookmarkStart w:id="427" w:name="_Toc139991749"/>
      <w:bookmarkStart w:id="428" w:name="_Toc123112247"/>
      <w:bookmarkStart w:id="429" w:name="_Toc11113"/>
      <w:bookmarkStart w:id="430" w:name="_Toc446339257"/>
      <w:bookmarkStart w:id="431" w:name="_Toc98560364"/>
      <w:bookmarkStart w:id="432" w:name="_Toc25647"/>
      <w:r>
        <w:rPr>
          <w:rFonts w:cs="宋体" w:hint="eastAsia"/>
          <w:color w:val="auto"/>
          <w:sz w:val="30"/>
          <w:highlight w:val="white"/>
          <w:lang w:eastAsia="zh-CN"/>
        </w:rPr>
        <w:t>第十九部分</w:t>
      </w:r>
      <w:bookmarkStart w:id="433" w:name="_Hlt88828593"/>
      <w:r>
        <w:rPr>
          <w:rFonts w:cs="宋体" w:hint="eastAsia"/>
          <w:color w:val="auto"/>
          <w:sz w:val="30"/>
          <w:highlight w:val="white"/>
          <w:lang w:eastAsia="zh-CN"/>
        </w:rPr>
        <w:t xml:space="preserve"> 基金合同</w:t>
      </w:r>
      <w:bookmarkEnd w:id="433"/>
      <w:r>
        <w:rPr>
          <w:rFonts w:cs="宋体" w:hint="eastAsia"/>
          <w:color w:val="auto"/>
          <w:sz w:val="30"/>
          <w:highlight w:val="white"/>
          <w:lang w:eastAsia="zh-CN"/>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9C732C">
      <w:pPr>
        <w:spacing w:line="360" w:lineRule="auto"/>
        <w:ind w:firstLine="482"/>
        <w:rPr>
          <w:rFonts w:ascii="宋体" w:cs="宋体"/>
          <w:sz w:val="24"/>
          <w:szCs w:val="24"/>
          <w:lang w:eastAsia="zh-CN"/>
        </w:rPr>
      </w:pPr>
    </w:p>
    <w:p w:rsidR="009C732C">
      <w:pPr>
        <w:spacing w:line="360" w:lineRule="auto"/>
        <w:ind w:firstLine="482"/>
        <w:rPr>
          <w:rFonts w:ascii="宋体" w:cs="宋体"/>
          <w:sz w:val="24"/>
          <w:szCs w:val="24"/>
          <w:lang w:eastAsia="zh-CN"/>
        </w:rPr>
      </w:pPr>
      <w:bookmarkStart w:id="434" w:name="_Toc79392639"/>
      <w:r>
        <w:rPr>
          <w:rFonts w:ascii="宋体" w:cs="宋体" w:hint="eastAsia"/>
          <w:sz w:val="24"/>
          <w:szCs w:val="24"/>
          <w:highlight w:val="white"/>
          <w:lang w:eastAsia="zh-CN"/>
        </w:rPr>
        <w:t>一、《基金合同》的变更</w:t>
      </w:r>
      <w:bookmarkEnd w:id="434"/>
    </w:p>
    <w:p w:rsidR="009C732C">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2、关于《基金合同》变更的基金份额持有人大会决议</w:t>
      </w:r>
      <w:r>
        <w:rPr>
          <w:rFonts w:ascii="宋体" w:cs="宋体" w:hint="eastAsia"/>
          <w:sz w:val="24"/>
          <w:szCs w:val="24"/>
          <w:highlight w:val="white"/>
          <w:lang w:eastAsia="zh-CN"/>
        </w:rPr>
        <w:t>自</w:t>
      </w:r>
      <w:r>
        <w:rPr>
          <w:rFonts w:ascii="宋体" w:cs="宋体"/>
          <w:sz w:val="24"/>
          <w:szCs w:val="24"/>
          <w:highlight w:val="white"/>
          <w:lang w:eastAsia="zh-CN"/>
        </w:rPr>
        <w:t>生效后方可执行，</w:t>
      </w:r>
      <w:r>
        <w:rPr>
          <w:rFonts w:ascii="宋体" w:cs="宋体" w:hint="eastAsia"/>
          <w:sz w:val="24"/>
          <w:szCs w:val="24"/>
          <w:highlight w:val="white"/>
          <w:lang w:eastAsia="zh-CN"/>
        </w:rPr>
        <w:t>自决议生效后两日内在规定媒介公告。</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二、《基金合同》的终止事由</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有下列情形之一的，经履行相关程序后，《基金合同》应当终止：</w:t>
      </w:r>
    </w:p>
    <w:p w:rsidR="009C732C">
      <w:pPr>
        <w:spacing w:line="360" w:lineRule="auto"/>
        <w:ind w:firstLine="482"/>
        <w:rPr>
          <w:rFonts w:ascii="宋体" w:cs="宋体"/>
          <w:sz w:val="24"/>
          <w:szCs w:val="24"/>
          <w:lang w:eastAsia="zh-CN"/>
        </w:rPr>
      </w:pPr>
      <w:r>
        <w:rPr>
          <w:rFonts w:ascii="宋体" w:cs="宋体"/>
          <w:bCs/>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9C732C">
      <w:pPr>
        <w:spacing w:line="360" w:lineRule="auto"/>
        <w:ind w:firstLine="482"/>
        <w:rPr>
          <w:rFonts w:ascii="宋体" w:cs="宋体"/>
          <w:sz w:val="24"/>
          <w:szCs w:val="24"/>
          <w:lang w:eastAsia="zh-CN"/>
        </w:rPr>
      </w:pPr>
      <w:r>
        <w:rPr>
          <w:rFonts w:ascii="宋体" w:cs="宋体"/>
          <w:bCs/>
          <w:sz w:val="24"/>
          <w:szCs w:val="24"/>
          <w:highlight w:val="white"/>
          <w:lang w:eastAsia="zh-CN"/>
        </w:rPr>
        <w:t>2、</w:t>
      </w:r>
      <w:r>
        <w:rPr>
          <w:rFonts w:ascii="宋体" w:cs="宋体" w:hint="eastAsia"/>
          <w:sz w:val="24"/>
          <w:szCs w:val="24"/>
          <w:highlight w:val="white"/>
          <w:lang w:eastAsia="zh-CN"/>
        </w:rPr>
        <w:t>基金份额持有人大会决定终止</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3、基金管理人、基金托管人职责终止，在</w:t>
      </w:r>
      <w:r>
        <w:rPr>
          <w:rFonts w:ascii="宋体" w:cs="宋体"/>
          <w:sz w:val="24"/>
          <w:szCs w:val="24"/>
          <w:highlight w:val="white"/>
          <w:lang w:eastAsia="zh-CN"/>
        </w:rPr>
        <w:t>6</w:t>
      </w:r>
      <w:r>
        <w:rPr>
          <w:rFonts w:ascii="宋体" w:cs="宋体" w:hint="eastAsia"/>
          <w:sz w:val="24"/>
          <w:szCs w:val="24"/>
          <w:highlight w:val="white"/>
          <w:lang w:eastAsia="zh-CN"/>
        </w:rPr>
        <w:t>个月内没有新基金管理人、新基金托管人承接</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9C732C">
      <w:pPr>
        <w:spacing w:line="360" w:lineRule="auto"/>
        <w:ind w:firstLine="482"/>
        <w:rPr>
          <w:rFonts w:ascii="宋体" w:cs="宋体"/>
          <w:sz w:val="24"/>
          <w:szCs w:val="24"/>
          <w:lang w:eastAsia="zh-CN"/>
        </w:rPr>
      </w:pPr>
      <w:r>
        <w:rPr>
          <w:rFonts w:ascii="宋体" w:cs="宋体"/>
          <w:bCs/>
          <w:sz w:val="24"/>
          <w:szCs w:val="24"/>
          <w:highlight w:val="white"/>
          <w:lang w:eastAsia="zh-CN"/>
        </w:rPr>
        <w:t>4、出现标的指数不符合</w:t>
      </w:r>
      <w:r>
        <w:rPr>
          <w:rFonts w:ascii="宋体" w:cs="宋体"/>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5、《基金合同》约定的其他情形；</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6、相关法律法规和中国证监会规定的其他情况。</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三、基金财产的清算</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、基金财产清算小组：自出现《基金合同》终止事由之日起</w:t>
      </w:r>
      <w:r>
        <w:rPr>
          <w:rFonts w:ascii="宋体" w:cs="宋体"/>
          <w:sz w:val="24"/>
          <w:szCs w:val="24"/>
          <w:highlight w:val="white"/>
          <w:lang w:eastAsia="zh-CN"/>
        </w:rPr>
        <w:t>30</w:t>
      </w:r>
      <w:r>
        <w:rPr>
          <w:rFonts w:ascii="宋体" w:cs="宋体" w:hint="eastAsia"/>
          <w:sz w:val="24"/>
          <w:szCs w:val="24"/>
          <w:highlight w:val="white"/>
          <w:lang w:eastAsia="zh-CN"/>
        </w:rPr>
        <w:t>个工作日内成立清算小组，基金管理人组织基金财产清算小组并在中国证监会的监督下进行基金清算。</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、基金财产清算程序：</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）《基金合同》终止情形出现时，由基金财产清算小组统一接管基金；</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）对基金财产和债权债务进行清理和确认；</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）对基金财产进行估值和变现；</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）制作清算报告；</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）聘请会计师事务所对清算报告进行外部审计，聘请律师事务所对清算报告出具法律意见书；</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）将清算报告报中国证监会备案并公告；</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）对基金剩余财产进行分配。</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、基金财产清算的期限为6个月</w:t>
      </w:r>
      <w:r>
        <w:rPr>
          <w:rFonts w:ascii="宋体" w:cs="宋体" w:hint="eastAsia"/>
          <w:bCs/>
          <w:sz w:val="24"/>
          <w:szCs w:val="24"/>
          <w:highlight w:val="white"/>
          <w:lang w:eastAsia="zh-CN"/>
        </w:rPr>
        <w:t>，但因本基金所持证券的流动性受到限制而不能及时变现的，清算期限相应顺延</w:t>
      </w:r>
      <w:r>
        <w:rPr>
          <w:rFonts w:ascii="宋体" w:cs="宋体" w:hint="eastAsia"/>
          <w:sz w:val="24"/>
          <w:szCs w:val="24"/>
          <w:highlight w:val="white"/>
          <w:lang w:eastAsia="zh-CN"/>
        </w:rPr>
        <w:t>。</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四、清算费用</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五、基金财产清算剩余资产的分配</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六、基金财产清算的公告</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cs="宋体"/>
          <w:sz w:val="24"/>
          <w:szCs w:val="24"/>
          <w:highlight w:val="white"/>
          <w:lang w:eastAsia="zh-CN"/>
        </w:rPr>
        <w:t>5</w:t>
      </w:r>
      <w:r>
        <w:rPr>
          <w:rFonts w:ascii="宋体" w:cs="宋体" w:hint="eastAsia"/>
          <w:sz w:val="24"/>
          <w:szCs w:val="24"/>
          <w:highlight w:val="white"/>
          <w:lang w:eastAsia="zh-CN"/>
        </w:rPr>
        <w:t>个工作日内由基金财产清算小组进行公告。</w:t>
      </w: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七、基金财产清算账册及文件的保存</w:t>
      </w:r>
    </w:p>
    <w:p w:rsidR="009C732C">
      <w:pPr>
        <w:spacing w:line="360" w:lineRule="auto"/>
        <w:ind w:firstLine="482"/>
        <w:rPr>
          <w:rFonts w:ascii="宋体" w:cs="宋体"/>
          <w:bCs/>
          <w:sz w:val="24"/>
          <w:szCs w:val="24"/>
          <w:lang w:eastAsia="zh-CN"/>
        </w:rPr>
      </w:pPr>
      <w:r>
        <w:rPr>
          <w:rFonts w:ascii="宋体" w:cs="宋体" w:hint="eastAsia"/>
          <w:sz w:val="24"/>
          <w:szCs w:val="24"/>
          <w:highlight w:val="white"/>
          <w:lang w:eastAsia="zh-CN"/>
        </w:rPr>
        <w:t>基金财产清算账册及有关文件由基金托管人保存</w:t>
      </w:r>
      <w:r>
        <w:rPr>
          <w:rFonts w:ascii="宋体" w:cs="宋体"/>
          <w:sz w:val="24"/>
          <w:szCs w:val="24"/>
          <w:highlight w:val="white"/>
          <w:lang w:eastAsia="zh-CN"/>
        </w:rPr>
        <w:t>20</w:t>
      </w:r>
      <w:r>
        <w:rPr>
          <w:rFonts w:ascii="宋体" w:cs="宋体" w:hint="eastAsia"/>
          <w:sz w:val="24"/>
          <w:szCs w:val="24"/>
          <w:highlight w:val="white"/>
          <w:lang w:eastAsia="zh-CN"/>
        </w:rPr>
        <w:t>年以上。</w:t>
      </w:r>
    </w:p>
    <w:p w:rsidR="009C732C">
      <w:pPr>
        <w:pStyle w:val="11"/>
        <w:spacing w:before="0" w:after="0"/>
        <w:jc w:val="center"/>
        <w:rPr>
          <w:rFonts w:cs="宋体"/>
          <w:color w:val="auto"/>
          <w:sz w:val="30"/>
          <w:lang w:eastAsia="zh-CN"/>
        </w:rPr>
      </w:pPr>
      <w:bookmarkStart w:id="435" w:name="_Toc98560365"/>
      <w:bookmarkStart w:id="436" w:name="_Toc79392641"/>
      <w:bookmarkStart w:id="437" w:name="_Toc48649720"/>
      <w:bookmarkStart w:id="438" w:name="_Toc123051466"/>
      <w:bookmarkStart w:id="439" w:name="_Toc123102467"/>
      <w:bookmarkStart w:id="440" w:name="_Toc123112248"/>
      <w:r>
        <w:rPr>
          <w:rFonts w:cs="宋体"/>
          <w:b w:val="0"/>
          <w:bCs/>
          <w:color w:val="auto"/>
          <w:highlight w:val="white"/>
          <w:lang w:eastAsia="zh-CN"/>
        </w:rPr>
        <w:br w:type="page"/>
      </w:r>
      <w:bookmarkStart w:id="441" w:name="_Toc27058"/>
      <w:bookmarkStart w:id="442" w:name="_Toc6327225"/>
      <w:bookmarkStart w:id="443" w:name="_Toc23166"/>
      <w:bookmarkStart w:id="444" w:name="_Toc446339258"/>
      <w:bookmarkStart w:id="445" w:name="_Toc141703901"/>
      <w:bookmarkStart w:id="446" w:name="_Toc30645"/>
      <w:bookmarkStart w:id="447" w:name="_Toc28549"/>
      <w:bookmarkStart w:id="448" w:name="_Toc12191"/>
      <w:bookmarkStart w:id="449" w:name="_Toc9708"/>
      <w:bookmarkStart w:id="450" w:name="_Toc21240"/>
      <w:bookmarkStart w:id="451" w:name="_Toc8710"/>
      <w:bookmarkStart w:id="452" w:name="_Toc7367"/>
      <w:bookmarkStart w:id="453" w:name="_Toc23022"/>
      <w:bookmarkStart w:id="454" w:name="_Toc13398"/>
      <w:bookmarkStart w:id="455" w:name="_Toc139991750"/>
      <w:r>
        <w:rPr>
          <w:rFonts w:cs="宋体" w:hint="eastAsia"/>
          <w:color w:val="auto"/>
          <w:sz w:val="30"/>
          <w:highlight w:val="white"/>
          <w:lang w:eastAsia="zh-CN"/>
        </w:rPr>
        <w:t>第二十部分 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1、不可抗力；</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2、基金管理人和/或基金托管人按照当时有效的法律法规或中国证监会的规定作为或不作为而造成的损失等；</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3、基金管理人由于按照基金合同规定的投资原则投资或不投资造成的损失等。</w:t>
      </w:r>
    </w:p>
    <w:p w:rsidR="009C732C">
      <w:pPr>
        <w:spacing w:line="360" w:lineRule="auto"/>
        <w:ind w:firstLine="420"/>
        <w:rPr>
          <w:rFonts w:ascii="宋体" w:cs="宋体"/>
          <w:sz w:val="24"/>
          <w:szCs w:val="24"/>
          <w:lang w:eastAsia="zh-CN"/>
        </w:rPr>
      </w:pPr>
      <w:r>
        <w:rPr>
          <w:rFonts w:ascii="宋体" w:cs="宋体" w:hint="eastAsia"/>
          <w:bCs/>
          <w:sz w:val="24"/>
          <w:szCs w:val="24"/>
          <w:highlight w:val="white"/>
          <w:lang w:eastAsia="zh-CN"/>
        </w:rPr>
        <w:t>二、</w:t>
      </w:r>
      <w:r>
        <w:rPr>
          <w:rFonts w:asci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C732C">
      <w:pPr>
        <w:spacing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C732C">
      <w:pPr>
        <w:pStyle w:val="11"/>
        <w:spacing w:before="0" w:after="0"/>
        <w:jc w:val="center"/>
        <w:rPr>
          <w:rFonts w:cs="宋体"/>
          <w:color w:val="auto"/>
          <w:sz w:val="30"/>
          <w:lang w:eastAsia="zh-CN"/>
        </w:rPr>
      </w:pPr>
      <w:r>
        <w:rPr>
          <w:rFonts w:cs="宋体"/>
          <w:b w:val="0"/>
          <w:bCs/>
          <w:color w:val="auto"/>
          <w:highlight w:val="white"/>
          <w:lang w:eastAsia="zh-CN"/>
        </w:rPr>
        <w:br w:type="page"/>
      </w:r>
      <w:bookmarkStart w:id="456" w:name="_Toc30350"/>
      <w:bookmarkStart w:id="457" w:name="_Toc23999"/>
      <w:bookmarkStart w:id="458" w:name="_Toc21983"/>
      <w:bookmarkStart w:id="459" w:name="_Toc7288"/>
      <w:bookmarkStart w:id="460" w:name="_Toc24923"/>
      <w:bookmarkStart w:id="461" w:name="_Toc123112249"/>
      <w:bookmarkStart w:id="462" w:name="_Toc141703902"/>
      <w:bookmarkStart w:id="463" w:name="_Toc139991751"/>
      <w:bookmarkStart w:id="464" w:name="_Toc123102468"/>
      <w:bookmarkStart w:id="465" w:name="_Toc98560366"/>
      <w:bookmarkStart w:id="466" w:name="_Toc123051467"/>
      <w:bookmarkStart w:id="467" w:name="_Toc1790"/>
      <w:bookmarkStart w:id="468" w:name="_Toc6110"/>
      <w:bookmarkStart w:id="469" w:name="_Toc25651"/>
      <w:bookmarkStart w:id="470" w:name="_Toc6202"/>
      <w:bookmarkStart w:id="471" w:name="_Toc8636"/>
      <w:bookmarkStart w:id="472" w:name="_Toc3319"/>
      <w:bookmarkStart w:id="473" w:name="_Toc446339259"/>
      <w:bookmarkStart w:id="474" w:name="_Toc6327226"/>
      <w:r>
        <w:rPr>
          <w:rFonts w:cs="宋体" w:hint="eastAsia"/>
          <w:color w:val="auto"/>
          <w:sz w:val="30"/>
          <w:highlight w:val="white"/>
          <w:lang w:eastAsia="zh-CN"/>
        </w:rPr>
        <w:t>第二十一部分 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9C732C">
      <w:pPr>
        <w:spacing w:line="360" w:lineRule="auto"/>
        <w:ind w:firstLine="482"/>
        <w:rPr>
          <w:rFonts w:ascii="宋体" w:cs="宋体"/>
          <w:sz w:val="24"/>
          <w:szCs w:val="24"/>
          <w:lang w:eastAsia="zh-CN"/>
        </w:rPr>
      </w:pPr>
    </w:p>
    <w:p w:rsidR="009C732C">
      <w:pPr>
        <w:spacing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w:t>
      </w:r>
      <w:r>
        <w:rPr>
          <w:rFonts w:ascii="宋体" w:cs="宋体" w:hint="eastAsia"/>
          <w:b/>
          <w:sz w:val="24"/>
          <w:szCs w:val="24"/>
          <w:highlight w:val="white"/>
          <w:lang w:eastAsia="zh-CN"/>
        </w:rPr>
        <w:t>基金合同当事人应尽量通过协商、调解途径解决，</w:t>
      </w:r>
      <w:r>
        <w:rPr>
          <w:rFonts w:ascii="宋体" w:cs="宋体"/>
          <w:b/>
          <w:sz w:val="24"/>
          <w:szCs w:val="24"/>
          <w:highlight w:val="white"/>
          <w:lang w:eastAsia="zh-CN"/>
        </w:rPr>
        <w:t>如经友好协商未能解决的，</w:t>
      </w:r>
      <w:r>
        <w:rPr>
          <w:rFonts w:ascii="宋体" w:cs="宋体" w:hint="eastAsia"/>
          <w:b/>
          <w:sz w:val="24"/>
          <w:szCs w:val="24"/>
          <w:highlight w:val="white"/>
          <w:lang w:eastAsia="zh-CN"/>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争议处理期间，</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当事人应恪守各自的职责，继续忠实、勤勉、尽责地履行</w:t>
      </w:r>
      <w:r>
        <w:rPr>
          <w:rFonts w:ascii="宋体" w:cs="宋体" w:hint="eastAsia"/>
          <w:bCs/>
          <w:sz w:val="24"/>
          <w:szCs w:val="24"/>
          <w:highlight w:val="white"/>
          <w:lang w:eastAsia="zh-CN"/>
        </w:rPr>
        <w:t>基金合同</w:t>
      </w:r>
      <w:r>
        <w:rPr>
          <w:rFonts w:ascii="宋体" w:cs="宋体" w:hint="eastAsia"/>
          <w:sz w:val="24"/>
          <w:szCs w:val="24"/>
          <w:highlight w:val="white"/>
          <w:lang w:eastAsia="zh-CN"/>
        </w:rPr>
        <w:t>规定的义务，维护基金份额持有人的合法权益。</w:t>
      </w:r>
    </w:p>
    <w:p w:rsidR="009C732C">
      <w:pPr>
        <w:spacing w:line="360" w:lineRule="auto"/>
        <w:ind w:firstLine="480"/>
        <w:rPr>
          <w:rFonts w:ascii="宋体" w:cs="宋体"/>
          <w:bCs/>
          <w:sz w:val="24"/>
          <w:szCs w:val="24"/>
          <w:lang w:eastAsia="zh-CN"/>
        </w:rPr>
      </w:pPr>
      <w:r>
        <w:rPr>
          <w:rFonts w:ascii="宋体" w:cs="宋体" w:hint="eastAsia"/>
          <w:sz w:val="24"/>
          <w:szCs w:val="24"/>
          <w:highlight w:val="white"/>
          <w:lang w:eastAsia="zh-CN"/>
        </w:rPr>
        <w:t>《基金合同》受中国法律管辖。</w:t>
      </w:r>
    </w:p>
    <w:p w:rsidR="009C732C">
      <w:pPr>
        <w:widowControl/>
        <w:jc w:val="left"/>
        <w:rPr>
          <w:rFonts w:ascii="宋体" w:cs="宋体"/>
          <w:b/>
          <w:sz w:val="30"/>
          <w:lang w:eastAsia="zh-CN"/>
        </w:rPr>
      </w:pPr>
      <w:bookmarkStart w:id="475" w:name="_Toc141703903"/>
      <w:bookmarkStart w:id="476" w:name="_Toc139991752"/>
      <w:bookmarkStart w:id="477" w:name="_Toc2532"/>
      <w:bookmarkStart w:id="478" w:name="_Toc8703"/>
      <w:bookmarkStart w:id="479" w:name="_Toc123051468"/>
      <w:bookmarkStart w:id="480" w:name="_Toc31966"/>
      <w:bookmarkStart w:id="481" w:name="_Toc484"/>
      <w:bookmarkStart w:id="482" w:name="_Toc8454"/>
      <w:bookmarkStart w:id="483" w:name="_Toc20350"/>
      <w:bookmarkStart w:id="484" w:name="_Toc29505"/>
      <w:bookmarkStart w:id="485" w:name="_Toc26461"/>
      <w:bookmarkStart w:id="486" w:name="_Toc11618"/>
      <w:bookmarkStart w:id="487" w:name="_Toc123102469"/>
      <w:bookmarkStart w:id="488" w:name="_Toc23991"/>
      <w:bookmarkStart w:id="489" w:name="_Toc123112250"/>
      <w:r>
        <w:rPr>
          <w:rFonts w:ascii="宋体" w:cs="宋体"/>
          <w:sz w:val="30"/>
          <w:highlight w:val="white"/>
          <w:lang w:eastAsia="zh-CN"/>
        </w:rPr>
        <w:br w:type="page"/>
      </w:r>
    </w:p>
    <w:p w:rsidR="009C732C">
      <w:pPr>
        <w:pStyle w:val="11"/>
        <w:spacing w:before="0" w:after="0"/>
        <w:jc w:val="center"/>
        <w:rPr>
          <w:rFonts w:cs="宋体"/>
          <w:color w:val="auto"/>
          <w:sz w:val="30"/>
        </w:rPr>
      </w:pPr>
      <w:bookmarkStart w:id="490" w:name="_Toc446339260"/>
      <w:bookmarkStart w:id="491" w:name="_Toc6327227"/>
      <w:bookmarkStart w:id="492" w:name="_Toc28690"/>
      <w:r>
        <w:rPr>
          <w:rFonts w:cs="宋体" w:hint="eastAsia"/>
          <w:color w:val="auto"/>
          <w:sz w:val="30"/>
          <w:highlight w:val="white"/>
        </w:rPr>
        <w:t>第二十二部分 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9C732C">
      <w:pPr>
        <w:spacing w:line="360" w:lineRule="auto"/>
        <w:ind w:firstLine="482"/>
        <w:rPr>
          <w:rFonts w:ascii="宋体" w:cs="宋体"/>
          <w:bCs/>
          <w:sz w:val="24"/>
          <w:szCs w:val="24"/>
        </w:rPr>
      </w:pPr>
    </w:p>
    <w:p w:rsidR="009C732C">
      <w:pPr>
        <w:spacing w:line="360" w:lineRule="auto"/>
        <w:ind w:firstLine="482"/>
        <w:rPr>
          <w:rFonts w:ascii="宋体" w:cs="宋体"/>
          <w:sz w:val="24"/>
          <w:szCs w:val="24"/>
          <w:lang w:eastAsia="zh-CN"/>
        </w:rPr>
      </w:pPr>
      <w:r>
        <w:rPr>
          <w:rFonts w:ascii="宋体" w:cs="宋体" w:hint="eastAsia"/>
          <w:sz w:val="24"/>
          <w:szCs w:val="24"/>
          <w:highlight w:val="white"/>
          <w:lang w:eastAsia="zh-CN"/>
        </w:rPr>
        <w:t>《基金合同》是约定基金</w:t>
      </w:r>
      <w:r>
        <w:rPr>
          <w:rFonts w:ascii="宋体" w:cs="宋体" w:hint="eastAsia"/>
          <w:bCs/>
          <w:color w:val="000000"/>
          <w:sz w:val="24"/>
          <w:szCs w:val="24"/>
          <w:highlight w:val="white"/>
          <w:lang w:eastAsia="zh-CN"/>
        </w:rPr>
        <w:t>合同</w:t>
      </w:r>
      <w:r>
        <w:rPr>
          <w:rFonts w:ascii="宋体" w:cs="宋体" w:hint="eastAsia"/>
          <w:bCs/>
          <w:sz w:val="24"/>
          <w:szCs w:val="24"/>
          <w:highlight w:val="white"/>
          <w:lang w:eastAsia="zh-CN"/>
        </w:rPr>
        <w:t>当事人之间、基金与基金合同当事人</w:t>
      </w:r>
      <w:r>
        <w:rPr>
          <w:rFonts w:ascii="宋体" w:cs="宋体" w:hint="eastAsia"/>
          <w:sz w:val="24"/>
          <w:szCs w:val="24"/>
          <w:highlight w:val="white"/>
          <w:lang w:eastAsia="zh-CN"/>
        </w:rPr>
        <w:t>之间权利义务关系的法律文件。</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、《基金合同》的有效期自其生效之日起至基金财产清算结果报中国证监会备案并公告之日止。</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、《基金合同》</w:t>
      </w:r>
      <w:r>
        <w:rPr>
          <w:rFonts w:ascii="宋体" w:cs="宋体"/>
          <w:bCs/>
          <w:sz w:val="24"/>
          <w:szCs w:val="24"/>
          <w:highlight w:val="white"/>
          <w:lang w:eastAsia="zh-CN"/>
        </w:rPr>
        <w:t>正本一式六份，除上报有关监管机构二份外，基金管理人、基金托管人各持有二份，每份具有同等的法律效力。</w:t>
      </w:r>
    </w:p>
    <w:p w:rsidR="009C732C">
      <w:pPr>
        <w:spacing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、《基金合同》可印制成册，供投资者在基金管理人、基金托管人、销售机构的办公场所和营业场所查阅。</w:t>
      </w:r>
    </w:p>
    <w:p w:rsidR="009C732C">
      <w:pPr>
        <w:pStyle w:val="11"/>
        <w:spacing w:before="0" w:after="0"/>
        <w:jc w:val="center"/>
        <w:rPr>
          <w:rFonts w:cs="宋体"/>
          <w:color w:val="auto"/>
          <w:sz w:val="30"/>
          <w:lang w:eastAsia="zh-CN"/>
        </w:rPr>
      </w:pPr>
      <w:r>
        <w:rPr>
          <w:rFonts w:cs="宋体"/>
          <w:b w:val="0"/>
          <w:color w:val="auto"/>
          <w:highlight w:val="white"/>
          <w:lang w:eastAsia="zh-CN"/>
        </w:rPr>
        <w:br w:type="page"/>
      </w:r>
      <w:bookmarkStart w:id="493" w:name="_Toc446339261"/>
      <w:bookmarkStart w:id="494" w:name="_Toc21726"/>
      <w:bookmarkStart w:id="495" w:name="_Toc9704"/>
      <w:bookmarkStart w:id="496" w:name="_Toc6327228"/>
      <w:r>
        <w:rPr>
          <w:rFonts w:cs="宋体" w:hint="eastAsia"/>
          <w:color w:val="auto"/>
          <w:sz w:val="30"/>
          <w:highlight w:val="white"/>
          <w:lang w:eastAsia="zh-CN"/>
        </w:rPr>
        <w:t>第二十三部分 其他事项</w:t>
      </w:r>
      <w:bookmarkEnd w:id="493"/>
      <w:bookmarkEnd w:id="494"/>
      <w:bookmarkEnd w:id="495"/>
      <w:bookmarkEnd w:id="496"/>
    </w:p>
    <w:p w:rsidR="009C732C">
      <w:pPr>
        <w:spacing w:line="360" w:lineRule="auto"/>
        <w:ind w:firstLine="480"/>
        <w:rPr>
          <w:rFonts w:ascii="宋体" w:cs="宋体"/>
          <w:sz w:val="24"/>
          <w:lang w:eastAsia="zh-CN"/>
        </w:rPr>
      </w:pPr>
    </w:p>
    <w:p w:rsidR="009C732C">
      <w:pPr>
        <w:spacing w:line="360" w:lineRule="auto"/>
        <w:ind w:firstLine="480"/>
        <w:rPr>
          <w:rFonts w:ascii="宋体" w:cs="宋体"/>
          <w:sz w:val="24"/>
          <w:lang w:eastAsia="zh-CN"/>
        </w:rPr>
      </w:pPr>
      <w:r>
        <w:rPr>
          <w:rFonts w:ascii="宋体" w:cs="宋体" w:hint="eastAsia"/>
          <w:sz w:val="24"/>
          <w:highlight w:val="white"/>
          <w:lang w:eastAsia="zh-CN"/>
        </w:rPr>
        <w:t>《基金合同》如有未尽事宜，由《基金合同》当事人各方按有关法律法规协商解决。</w:t>
      </w:r>
    </w:p>
    <w:p w:rsidR="009C732C">
      <w:pPr>
        <w:spacing w:line="360" w:lineRule="auto"/>
        <w:ind w:firstLine="480"/>
        <w:rPr>
          <w:rFonts w:ascii="宋体" w:cs="宋体"/>
          <w:sz w:val="24"/>
          <w:lang w:eastAsia="zh-CN"/>
        </w:rPr>
      </w:pPr>
    </w:p>
    <w:p w:rsidR="009C732C">
      <w:pPr>
        <w:widowControl/>
        <w:jc w:val="left"/>
        <w:rPr>
          <w:rFonts w:ascii="宋体" w:cs="宋体"/>
          <w:b/>
          <w:sz w:val="30"/>
          <w:lang w:eastAsia="zh-CN"/>
        </w:rPr>
      </w:pPr>
      <w:bookmarkStart w:id="497" w:name="_Toc9054"/>
      <w:bookmarkStart w:id="498" w:name="_Toc21122"/>
      <w:bookmarkStart w:id="499" w:name="_Toc141703905"/>
      <w:bookmarkStart w:id="500" w:name="_Toc17263"/>
      <w:bookmarkStart w:id="501" w:name="_Toc5108"/>
      <w:bookmarkStart w:id="502" w:name="_Toc32355"/>
      <w:bookmarkStart w:id="503" w:name="_Toc7437"/>
      <w:bookmarkStart w:id="504" w:name="_Toc20098"/>
      <w:bookmarkStart w:id="505" w:name="_Toc15045"/>
      <w:bookmarkStart w:id="506" w:name="_Toc1360"/>
      <w:bookmarkStart w:id="507" w:name="_Toc6327229"/>
      <w:bookmarkStart w:id="508" w:name="_Toc15664"/>
      <w:bookmarkStart w:id="509" w:name="_Toc12499"/>
      <w:r>
        <w:rPr>
          <w:rFonts w:ascii="宋体" w:cs="宋体"/>
          <w:sz w:val="30"/>
          <w:highlight w:val="white"/>
          <w:lang w:eastAsia="zh-CN"/>
        </w:rPr>
        <w:br w:type="page"/>
      </w:r>
    </w:p>
    <w:p w:rsidR="009C732C">
      <w:pPr>
        <w:pStyle w:val="11"/>
        <w:spacing w:before="0" w:after="0"/>
        <w:jc w:val="center"/>
        <w:rPr>
          <w:rFonts w:cs="宋体"/>
          <w:color w:val="auto"/>
          <w:sz w:val="30"/>
          <w:lang w:eastAsia="zh-CN"/>
        </w:rPr>
      </w:pPr>
      <w:r>
        <w:rPr>
          <w:rFonts w:cs="宋体"/>
          <w:color w:val="auto"/>
          <w:sz w:val="30"/>
          <w:highlight w:val="white"/>
          <w:lang w:eastAsia="zh-CN"/>
        </w:rPr>
        <w:t>第二十四部分 基金合同</w:t>
      </w:r>
      <w:r>
        <w:rPr>
          <w:rFonts w:cs="宋体" w:hint="eastAsia"/>
          <w:color w:val="auto"/>
          <w:sz w:val="30"/>
          <w:highlight w:val="white"/>
          <w:lang w:eastAsia="zh-CN"/>
        </w:rPr>
        <w:t>内容</w:t>
      </w:r>
      <w:r>
        <w:rPr>
          <w:rFonts w:cs="宋体"/>
          <w:color w:val="auto"/>
          <w:sz w:val="30"/>
          <w:highlight w:val="white"/>
          <w:lang w:eastAsia="zh-CN"/>
        </w:rPr>
        <w:t>摘要</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9C732C">
      <w:pPr>
        <w:spacing w:line="360" w:lineRule="auto"/>
        <w:ind w:firstLine="480"/>
        <w:rPr>
          <w:rFonts w:ascii="宋体" w:cs="宋体"/>
          <w:sz w:val="24"/>
          <w:szCs w:val="24"/>
          <w:lang w:eastAsia="zh-CN"/>
        </w:rPr>
      </w:pPr>
      <w:r>
        <w:rPr>
          <w:rFonts w:ascii="宋体" w:cs="宋体"/>
          <w:sz w:val="24"/>
          <w:szCs w:val="24"/>
          <w:highlight w:val="white"/>
          <w:lang w:eastAsia="zh-CN"/>
        </w:rPr>
        <w:t>第一节 基金份额持有人、基金管理人和基金托管人的权利、义务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一、基金份额持有人的权利与义务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（1）分享基金财产收益；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（2）参与分配清算后的剩余基金财产；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（3）依法转让或者申请赎回其持有的基金份额；</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（5）出席或者委派代表出席本基金或目标ETF的基金份额持有人大会，对本基金或目标ETF的基金份额持有人大会审议事项行使表决权；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（6）查阅或者复制公开披露的基金信息资料；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（7）监督基金管理人的投资运作；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（3）关注基金信息披露，及时行使权利和履行义务；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（4）交纳基金认购、申购款项及法律法规和《基金合同》所规定的费用；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（7）执行生效的基金份额持有人大会的决议；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二、基金管理人的权利与义务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（1）依法募集资金；</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（4）销售基金份额；</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（5）按照规定召集基金份额持有人大会；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（7）在基金托管人更换时，提名新的基金托管人；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（11）在《基金合同》约定的范围内，拒绝或暂停受理申购、赎回及转换申请；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（13）在法律法规允许的前提下，为基金的利益依法为基金进行融资、融券及转融通证券出借业务；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（14）以基金管理人的名义，代表基金份额持有人的利益行使诉讼权利或者实施其他法律行为；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（16）在符合有关法律、法规的前提下，制订和调整有关基金认购、申购、赎回、转换、非交易过户、转托管和收益分配等的业务规则；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（1）依法募集资金，办理或者委托经中国证监会认定的其他机构办理基金份额的发售、申购、赎回和登记事宜；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（7）依法接受基金托管人的监督；</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（9）进行基金会计核算并编制基金财务会计报告；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（10）编制季度报告、中期报告和年度报告；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（14）按规定受理申购与赎回申请，及时、足额支付赎回款项；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（16）按规定保存基金财产管理业务活动的会计账册、报表、记录和其他相关资料20年以上；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（25）执行生效的基金份额持有人大会的决议；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（26）建立并保存基金份额持有人名册；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三、基金托管人的权利与义务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（1）自《基金合同》生效之日起，依法律法规和《基金合同》的规定安全保管基金财产；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（5）提议召开或召集基金份额持有人大会；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（6）在基金管理人更换时，提名新的基金管理人；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（4）除依据《基金法》、《基金合同》及其他有关规定外，不得利用基金财产为自己及任何第三人谋取利益，不得委托第三人托管基金财产；</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（8）复核、审查基金管理人计算的基金资产净值、各类基金份额净值、基金份额申购、赎回价格；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（9）办理与基金托管业务活动有关的信息披露事项；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（11）保存基金托管业务活动的记录、账册、报表和其他相关资料20年以上；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（12）从基金管理人或其委托的登记机构处接收并保存基金份额持有人名册；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（13）按规定制作相关账册并与基金管理人核对；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（14）依据基金管理人的指令或有关规定向基金份额持有人支付基金收益和赎回款项；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（18）面临解散、依法被撤销或者被依法宣告破产时，及时报告中国证监会和银行监管机构，并通知基金管理人；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（19）因违反《基金合同》导致基金财产损失时，应承担赔偿责任，其赔偿责任不因其退任而免除；</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（21）执行生效的基金份额持有人大会的决议；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第二节 基金份额持有人大会召集、议事及表决的程序和规则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本基金份额持有人大会不设日常机构。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一、召开事由</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（9）基金管理人代表本基金的基金份额持有人提议召开或召集目标ETF基金份额持有人大会；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（10）变更基金份额持有人大会程序；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（1）调低销售服务费率；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（2）法律法规要求增加的基金费用的收取；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（3）在法律法规和《基金合同》规定的范围内，调整本基金的申购费率、调低赎回费率或调整收费方式、调整基金份额类别设置；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（4）因相应的法律法规发生变动而应当对《基金合同》进行修改；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（5）对《基金合同》的修改对基金份额持有人利益无实质性不利影响或修改不涉及《基金合同》当事人权利义务关系发生重大变化；</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（7）调整基金收益的分配原则和支付方式；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（8）在法律法规或中国证监会允许的范围内推出新业务或服务；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（9）由于目标ETF变更交易方式、终止上市、基金合同终止、与其他基金进行合并而变更基金投资目标、范围或策略；</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（10）按照法律法规和《基金合同》规定不需召开基金份额持有人大会的其他情形。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二、会议召集人及召集方式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（1）会议召开的时间、地点和会议形式；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（2）会议拟审议的事项、议事程序和表决方式；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（5）会务常设联系人姓名及联系电话；</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（6）出席会议者必须准备的文件和必须履行的手续；</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（7）召集人需要通知的其他事项。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四、基金份额持有人出席会议的方式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在同时符合以下条件时，通讯开会的方式视为有效：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五、议事内容与程序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1、议事内容及提案权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2、议事程序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六、表决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基金份额持有人所持每份基金份额有一票表决权。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基金份额持有人大会采取记名方式进行投票表决。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七、计票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1、现场开会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2、通讯开会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八、生效与公告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基金份额持有人大会的决议，召集人应当自通过之日起5日内报中国证监会备案。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九、实施侧袋机制期间基金份额持有人大会的特殊约定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1、基金份额持有人行使提议权、召集权、提名权所需单独或合计代表相关基金份额10%以上（含10%）；</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2、现场开会的到会者在权益登记日代表的基金份额不少于本基金在权益登记日相关基金份额的二分之一（含二分之一）；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6、一般决议须经参加大会的基金份额持有人或其代理人所持表决权的二分之一以上（含二分之一）通过；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7、特别决议应当经参加大会的基金份额持有人或其代理人所持表决权的三分之二以上（含三分之二）通过。</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同一主侧袋账户内的每份基金份额具有平等的表决权。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第三节 基金收益分配原则、执行方式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一、基金利润的构成</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二、基金可供分配利润</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基金可供分配利润指截至收益分配基准日基金未分配利润与未分配利润中已实现收益的孰低数。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三、基金收益分配原则</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3、本基金各基金份额类别在费用收取上不同，其对应的可分配收益可能有所不同。同一类别的每一基金份额享有同等分配权；</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4、在对基金份额持有人利益无实质不利影响的前提下，基金管理人与基金托管人协商一致后，可调整基金收益的分配原则和支付方式，不需召开基金份额持有人大会审议；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5、法律法规或监管机关另有规定的，从其规定。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四、收益分配方案</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基金收益分配方案中应载明截止收益分配基准日的可供分配利润、基金收益分配对象、分配时间、分配数额及比例、分配方式等内容。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五、收益分配方案的确定、公告与实施</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本基金收益分配方案由基金管理人拟定，并由基金托管人复核，在2日内在规定媒介公告。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六、基金收益分配中发生的费用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七、实施侧袋机制期间的收益分配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本基金实施侧袋机制的，侧袋账户不进行收益分配，详见招募说明书的规定。</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第四节 与基金财产管理、运用有关费用的提取、支付方式与比例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一、基金费用的种类</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4、《基金合同》生效后与基金相关的信息披露费用；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5、《基金合同》生效后与基金相关的会计师费、律师费、诉讼费和仲裁费；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6、基金份额持有人大会费用；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7、基金的证券/期货交易费用，基金投资目标 ETF 的相关费用（包括但不限于目标ETF 的交易费用、申购赎回费用等）；</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8、基金的银行汇划费用；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9、证券账户开户费用、银行账户维护费用；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10、按照国家有关规定和《基金合同》约定，可以在基金财产中列支的其他费用。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二、基金费用计提方法、计提标准和支付方式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本基金的管理费按前一日基金资产净值扣除前一日所持有目标ETF公允价值后的余额（若为负数，则取0）的0.50%年费率计提。管理费的计算方法如下：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0.50%</w:t>
      </w:r>
      <w:r>
        <w:rPr>
          <w:rFonts w:ascii="宋体" w:cs="宋体"/>
          <w:sz w:val="24"/>
          <w:szCs w:val="24"/>
          <w:highlight w:val="white"/>
          <w:lang w:eastAsia="zh-CN"/>
        </w:rPr>
        <w:t>÷</w:t>
      </w:r>
      <w:r>
        <w:rPr>
          <w:rFonts w:ascii="宋体" w:cs="宋体"/>
          <w:sz w:val="24"/>
          <w:szCs w:val="24"/>
          <w:highlight w:val="white"/>
          <w:lang w:eastAsia="zh-CN"/>
        </w:rPr>
        <w:t>当年天数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H为每日应计提的基金管理费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本基金的托管费按前一日基金资产净值扣除前一日所持有目标ETF公允价值后的余额（若为负数，则取0）的0.10%的年费率计提。托管费的计算方法如下：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0.10%</w:t>
      </w:r>
      <w:r>
        <w:rPr>
          <w:rFonts w:ascii="宋体" w:cs="宋体"/>
          <w:sz w:val="24"/>
          <w:szCs w:val="24"/>
          <w:highlight w:val="white"/>
          <w:lang w:eastAsia="zh-CN"/>
        </w:rPr>
        <w:t>÷</w:t>
      </w:r>
      <w:r>
        <w:rPr>
          <w:rFonts w:ascii="宋体" w:cs="宋体"/>
          <w:sz w:val="24"/>
          <w:szCs w:val="24"/>
          <w:highlight w:val="white"/>
          <w:lang w:eastAsia="zh-CN"/>
        </w:rPr>
        <w:t>当年天数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H为每日应计提的基金托管费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本基金A类基金份额不收取销售服务费，C类基金份额的销售服务费年费率为0.30%，按前一日C类基金资产净值的0.30%年费率计提。</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销售服务费的计算方法如下：</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0.30%</w:t>
      </w:r>
      <w:r>
        <w:rPr>
          <w:rFonts w:ascii="宋体" w:cs="宋体"/>
          <w:sz w:val="24"/>
          <w:szCs w:val="24"/>
          <w:highlight w:val="white"/>
          <w:lang w:eastAsia="zh-CN"/>
        </w:rPr>
        <w:t>÷</w:t>
      </w:r>
      <w:r>
        <w:rPr>
          <w:rFonts w:ascii="宋体" w:cs="宋体"/>
          <w:sz w:val="24"/>
          <w:szCs w:val="24"/>
          <w:highlight w:val="white"/>
          <w:lang w:eastAsia="zh-CN"/>
        </w:rPr>
        <w:t>当年天数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H 为C类基金份额每日应计提的销售服务费</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E 为C类基金份额前一日基金资产净值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中第4－10项费用，根据有关法规及相应协议规定，按费用实际支出金额列入当期费用，由基金托管人从基金财产中支付。</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三、不列入基金费用的项目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下列费用不列入基金费用：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四、实施侧袋机制期间的基金费用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五、基金税收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第五节 基金财产的投资方向和投资限制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一、投资范围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如法律法规或监管机构以后允许基金投资其他品种，基金管理人在履行适当程序后，本基金可以将其纳入投资范围。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本基金将根据法律法规的规定参与转融通证券出借及融资业务。</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9C732C">
      <w:pPr>
        <w:spacing w:line="360" w:lineRule="auto"/>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二、投资限制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1、组合限制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基金的投资组合应遵循以下限制：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（1）本基金投资于目标ETF的资产不低于基金资产净值的90%；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（3）本基金投资于同一原始权益人的各类资产支持证券的比例，不得超过基金资产净值的10%；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（4）本基金持有的全部资产支持证券，其市值不得超过基金资产净值的20%；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（5）本基金持有的同一(指同一信用级别)资产支持证券的比例，不得超过该资产支持证券规模的10%；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（6）本基金管理人管理的全部基金投资于同一原始权益人的各类资产支持证券，不得超过其各类资产支持证券合计规模的10%；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（8）基金财产参与股票发行申购，本基金所申报的金额不超过本基金的总资产，本基金所申报的股票数量不超过拟发行股票公司本次发行股票的总量；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（12）基金参与融资业务后，在任何交易日日终，持有的融资买入股票与其他有价证券市值之和，不得超过基金资产净值的95%；</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（16）本基金资产总值不超过基金资产净值的140%；</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（17）本基金投资存托凭证的比例限制依照境内上市交易的股票执行，与境内上市交易的股票合并计算；</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（18）法律法规及中国证监会规定的和《基金合同》约定的其他投资限制。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2、禁止行为</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（1）承销证券；</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（2）违反规定向他人贷款或者提供担保；</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（3）从事承担无限责任的投资；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（4）向其基金管理人、基金托管人出资；</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三、侧袋机制的实施和投资运作安排</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第六节 基金资产净值的计算方法和公告方式</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一、基金资产总值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基金资产总值是指购买的目标ETF基金份额、各类证券及票据价值、银行存款本息和基金应收的申购基金款以及其他投资所形成的价值总和。</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二、基金资产净值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三、基金净值信息的公告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《基金合同》生效后，在开始办理基金份额申购或者赎回前，基金管理人应当至少每周在规定网站披露一次各类基金份额净值和基金份额累计净值。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在开始办理基金份额申购或者赎回后，基金管理人应当在不晚于每个开放日的次日，通过规定网站、基金销售机构网站或者营业网点披露开放日的各类基金份额净值和基金份额累计净值。</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基金管理人应当在不晚于半年度和年度最后一日的次日，在规定网站披露半年度和年度最后一日的各类基金份额净值和基金份额累计净值。</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第七节 基金合同解除和终止的事由、程序以及基金财产清算方式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一、《基金合同》的变更</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2、关于《基金合同》变更的基金份额持有人大会决议自生效后方可执行，自决议生效后两日内在规定媒介公告。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二、《基金合同》的终止事由</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1、《基金合同》生效之日起三年后的年度对应日，若基金资产净值低于2 亿元的；若届时的法律法规或中国证监会规定发生变化，上述终止规定被取消、更改或补充，则本基金可以参照届时有效的法律法规或中国证监会规定执行；</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2、基金份额持有人大会决定终止的；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3、基金管理人、基金托管人职责终止，在6个月内没有新基金管理人、新基金托管人承接的；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5、《基金合同》约定的其他情形；</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6、相关法律法规和中国证监会规定的其他情况。</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三、基金财产的清算</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4、基金财产清算程序：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（2）对基金财产和债权债务进行清理和确认；</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（3）对基金财产进行估值和变现；</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（4）制作清算报告；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（6）将清算报告报中国证监会备案并公告；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（7）对基金剩余财产进行分配。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四、清算费用</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五、基金财产清算剩余资产的分配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六、基金财产清算的公告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七、基金财产清算账册及文件的保存</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基金财产清算账册及有关文件由基金托管人保存20年以上。</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第八节 争议解决方式</w:t>
      </w:r>
    </w:p>
    <w:p w:rsidR="009C732C">
      <w:pPr>
        <w:spacing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9C732C">
      <w:pPr>
        <w:spacing w:line="360" w:lineRule="auto"/>
        <w:ind w:firstLine="480"/>
        <w:rPr>
          <w:rFonts w:ascii="宋体" w:cs="宋体"/>
          <w:b/>
          <w:sz w:val="24"/>
          <w:szCs w:val="24"/>
          <w:lang w:eastAsia="zh-CN"/>
        </w:rPr>
      </w:pPr>
      <w:r>
        <w:rPr>
          <w:rFonts w:ascii="宋体" w:cs="宋体"/>
          <w:b/>
          <w:sz w:val="24"/>
          <w:szCs w:val="24"/>
          <w:highlight w:val="white"/>
          <w:lang w:eastAsia="zh-CN"/>
        </w:rPr>
        <w:t>争议处理期间，基金合同当事人应恪守各自的职责，继续忠实、勤勉、尽责地履行基金合同规定的义务，维护基金份额持有人的合法权益。</w:t>
      </w:r>
    </w:p>
    <w:p w:rsidR="009C732C">
      <w:pPr>
        <w:spacing w:line="360" w:lineRule="auto"/>
        <w:ind w:firstLine="480"/>
        <w:rPr>
          <w:rFonts w:ascii="宋体" w:cs="宋体"/>
          <w:b/>
          <w:sz w:val="24"/>
          <w:szCs w:val="24"/>
          <w:lang w:eastAsia="zh-CN"/>
        </w:rPr>
      </w:pPr>
      <w:r>
        <w:rPr>
          <w:rFonts w:ascii="宋体" w:cs="宋体"/>
          <w:b/>
          <w:sz w:val="24"/>
          <w:szCs w:val="24"/>
          <w:highlight w:val="white"/>
          <w:lang w:eastAsia="zh-CN"/>
        </w:rPr>
        <w:t>《基金合同》受中国法律管辖。</w:t>
      </w:r>
    </w:p>
    <w:p w:rsidR="009C732C">
      <w:pPr>
        <w:spacing w:line="360" w:lineRule="auto"/>
        <w:ind w:firstLine="480"/>
        <w:rPr>
          <w:rFonts w:ascii="宋体" w:cs="宋体"/>
          <w:sz w:val="24"/>
          <w:szCs w:val="24"/>
          <w:lang w:eastAsia="zh-CN"/>
        </w:rPr>
      </w:pPr>
    </w:p>
    <w:p w:rsidR="009C732C">
      <w:pPr>
        <w:spacing w:line="360" w:lineRule="auto"/>
        <w:ind w:firstLine="480"/>
        <w:rPr>
          <w:rFonts w:ascii="宋体" w:cs="宋体"/>
          <w:sz w:val="24"/>
          <w:szCs w:val="24"/>
          <w:lang w:eastAsia="zh-CN"/>
        </w:rPr>
      </w:pPr>
      <w:r>
        <w:rPr>
          <w:rFonts w:ascii="宋体" w:cs="宋体" w:hint="eastAsia"/>
          <w:sz w:val="24"/>
          <w:szCs w:val="24"/>
          <w:highlight w:val="white"/>
          <w:lang w:eastAsia="zh-CN"/>
        </w:rPr>
        <w:t>第九节 基金合同存放地和投资者取得基金合同的方式</w:t>
      </w:r>
    </w:p>
    <w:p w:rsidR="009C732C">
      <w:pPr>
        <w:spacing w:line="360" w:lineRule="auto"/>
        <w:ind w:firstLine="480"/>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rsidR="009C732C">
      <w:pPr>
        <w:spacing w:line="360" w:lineRule="auto"/>
        <w:ind w:firstLine="480"/>
        <w:rPr>
          <w:rFonts w:asci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9C732C">
      <w:pPr>
        <w:spacing w:line="360" w:lineRule="auto"/>
        <w:rPr>
          <w:rFonts w:ascii="宋体" w:cs="宋体"/>
          <w:sz w:val="24"/>
          <w:lang w:eastAsia="zh-CN"/>
        </w:rPr>
      </w:pPr>
      <w:bookmarkStart w:id="510" w:name="_Hlt88901000"/>
      <w:bookmarkStart w:id="511" w:name="_Hlt88901010"/>
      <w:bookmarkEnd w:id="510"/>
      <w:bookmarkEnd w:id="511"/>
      <w:r>
        <w:rPr>
          <w:rFonts w:ascii="宋体" w:cs="宋体" w:hint="eastAsia"/>
          <w:sz w:val="24"/>
          <w:highlight w:val="white"/>
          <w:lang w:eastAsia="zh-CN"/>
        </w:rPr>
        <w:t>本页无正文，为《</w:t>
      </w:r>
      <w:r>
        <w:rPr>
          <w:rFonts w:ascii="宋体" w:cs="宋体" w:hint="eastAsia"/>
          <w:sz w:val="24"/>
          <w:szCs w:val="21"/>
          <w:lang w:eastAsia="zh-CN"/>
        </w:rPr>
        <w:t>易方达国证机器人产业交易型开放式指数证券投资基金发起式联接基金</w:t>
      </w:r>
      <w:r>
        <w:rPr>
          <w:rFonts w:ascii="宋体" w:cs="宋体" w:hint="eastAsia"/>
          <w:sz w:val="24"/>
          <w:highlight w:val="white"/>
          <w:lang w:eastAsia="zh-CN"/>
        </w:rPr>
        <w:t>基金合同》的签字盖章页。</w:t>
      </w:r>
    </w:p>
    <w:p w:rsidR="009C732C">
      <w:pPr>
        <w:spacing w:line="360" w:lineRule="auto"/>
        <w:rPr>
          <w:rFonts w:ascii="宋体" w:cs="宋体"/>
          <w:sz w:val="24"/>
          <w:lang w:eastAsia="zh-CN"/>
        </w:rPr>
      </w:pPr>
    </w:p>
    <w:p w:rsidR="009C732C">
      <w:pPr>
        <w:spacing w:line="360" w:lineRule="auto"/>
        <w:ind w:right="26"/>
        <w:rPr>
          <w:rFonts w:ascii="宋体" w:cs="宋体"/>
          <w:b/>
          <w:bCs/>
          <w:sz w:val="24"/>
          <w:szCs w:val="21"/>
          <w:lang w:eastAsia="zh-CN"/>
        </w:rPr>
      </w:pPr>
      <w:r>
        <w:rPr>
          <w:rFonts w:ascii="宋体" w:cs="宋体" w:hint="eastAsia"/>
          <w:b/>
          <w:bCs/>
          <w:sz w:val="24"/>
          <w:szCs w:val="21"/>
          <w:highlight w:val="white"/>
          <w:lang w:eastAsia="zh-CN"/>
        </w:rPr>
        <w:t>《基金合同》当事人盖章及法定代表人或授权代表签字</w:t>
      </w:r>
      <w:r>
        <w:rPr>
          <w:rFonts w:ascii="宋体" w:cs="宋体"/>
          <w:b/>
          <w:sz w:val="24"/>
          <w:highlight w:val="white"/>
          <w:lang w:eastAsia="zh-CN"/>
        </w:rPr>
        <w:t>/</w:t>
      </w:r>
      <w:r>
        <w:rPr>
          <w:rFonts w:ascii="宋体" w:cs="宋体" w:hint="eastAsia"/>
          <w:b/>
          <w:sz w:val="24"/>
          <w:highlight w:val="white"/>
          <w:lang w:eastAsia="zh-CN"/>
        </w:rPr>
        <w:t>签章</w:t>
      </w:r>
      <w:r>
        <w:rPr>
          <w:rFonts w:ascii="宋体" w:cs="宋体" w:hint="eastAsia"/>
          <w:b/>
          <w:bCs/>
          <w:sz w:val="24"/>
          <w:szCs w:val="21"/>
          <w:highlight w:val="white"/>
          <w:lang w:eastAsia="zh-CN"/>
        </w:rPr>
        <w:t>、签订地、签订日</w:t>
      </w:r>
    </w:p>
    <w:p w:rsidR="009C732C">
      <w:pPr>
        <w:spacing w:line="360" w:lineRule="auto"/>
        <w:ind w:firstLine="482"/>
        <w:rPr>
          <w:rFonts w:ascii="宋体" w:cs="宋体"/>
          <w:b/>
          <w:sz w:val="24"/>
          <w:lang w:eastAsia="zh-CN"/>
        </w:rPr>
      </w:pPr>
    </w:p>
    <w:p w:rsidR="009C732C">
      <w:pPr>
        <w:spacing w:line="360" w:lineRule="auto"/>
        <w:ind w:right="26"/>
        <w:rPr>
          <w:rFonts w:ascii="宋体" w:cs="宋体"/>
          <w:b/>
          <w:sz w:val="24"/>
          <w:lang w:eastAsia="zh-CN"/>
        </w:rPr>
      </w:pPr>
      <w:r>
        <w:rPr>
          <w:rFonts w:ascii="宋体" w:cs="宋体" w:hint="eastAsia"/>
          <w:b/>
          <w:sz w:val="24"/>
          <w:highlight w:val="white"/>
          <w:lang w:eastAsia="zh-CN"/>
        </w:rPr>
        <w:t>基金管理人：易方达基金管理有限公司（章）</w:t>
      </w: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right="26"/>
        <w:rPr>
          <w:rFonts w:ascii="宋体" w:cs="宋体"/>
          <w:b/>
          <w:sz w:val="24"/>
          <w:lang w:eastAsia="zh-CN"/>
        </w:rPr>
      </w:pPr>
      <w:r>
        <w:rPr>
          <w:rFonts w:ascii="宋体" w:cs="宋体" w:hint="eastAsia"/>
          <w:b/>
          <w:sz w:val="24"/>
          <w:highlight w:val="white"/>
          <w:lang w:eastAsia="zh-CN"/>
        </w:rPr>
        <w:t>基金托管人：</w:t>
      </w:r>
      <w:r>
        <w:rPr>
          <w:rFonts w:ascii="宋体" w:cs="宋体" w:hint="eastAsia"/>
          <w:b/>
          <w:sz w:val="24"/>
          <w:szCs w:val="21"/>
          <w:lang w:eastAsia="zh-CN"/>
        </w:rPr>
        <w:t>中国建设银行股份有限公司</w:t>
      </w:r>
      <w:r>
        <w:rPr>
          <w:rFonts w:ascii="宋体" w:cs="宋体" w:hint="eastAsia"/>
          <w:b/>
          <w:sz w:val="24"/>
          <w:szCs w:val="21"/>
          <w:highlight w:val="white"/>
          <w:lang w:eastAsia="zh-CN"/>
        </w:rPr>
        <w:t xml:space="preserve"> </w:t>
      </w:r>
      <w:r>
        <w:rPr>
          <w:rFonts w:ascii="宋体" w:cs="宋体" w:hint="eastAsia"/>
          <w:b/>
          <w:sz w:val="24"/>
          <w:highlight w:val="white"/>
          <w:lang w:eastAsia="zh-CN"/>
        </w:rPr>
        <w:t>（章）</w:t>
      </w: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firstLine="482"/>
        <w:rPr>
          <w:rFonts w:ascii="宋体" w:cs="宋体"/>
          <w:b/>
          <w:sz w:val="24"/>
          <w:lang w:eastAsia="zh-CN"/>
        </w:rPr>
      </w:pPr>
    </w:p>
    <w:p w:rsidR="009C732C">
      <w:pPr>
        <w:spacing w:line="360" w:lineRule="auto"/>
        <w:ind w:right="26"/>
        <w:rPr>
          <w:rFonts w:ascii="宋体" w:cs="宋体"/>
          <w:b/>
          <w:sz w:val="24"/>
          <w:lang w:eastAsia="zh-CN"/>
        </w:rPr>
      </w:pPr>
      <w:r>
        <w:rPr>
          <w:rFonts w:ascii="宋体" w:cs="宋体" w:hint="eastAsia"/>
          <w:b/>
          <w:sz w:val="24"/>
          <w:highlight w:val="white"/>
          <w:lang w:eastAsia="zh-CN"/>
        </w:rPr>
        <w:t>签订地点：</w:t>
      </w:r>
    </w:p>
    <w:p w:rsidR="009C732C">
      <w:pPr>
        <w:spacing w:line="360" w:lineRule="auto"/>
        <w:ind w:right="26"/>
        <w:rPr>
          <w:rFonts w:ascii="宋体" w:cs="宋体"/>
          <w:b/>
          <w:sz w:val="24"/>
          <w:lang w:eastAsia="zh-CN"/>
        </w:rPr>
      </w:pPr>
      <w:r>
        <w:rPr>
          <w:rFonts w:ascii="宋体" w:cs="宋体" w:hint="eastAsia"/>
          <w:b/>
          <w:sz w:val="24"/>
          <w:highlight w:val="white"/>
          <w:lang w:eastAsia="zh-CN"/>
        </w:rPr>
        <w:t>签订日：</w:t>
      </w:r>
      <w:r>
        <w:rPr>
          <w:rFonts w:ascii="宋体" w:cs="宋体"/>
          <w:b/>
          <w:sz w:val="24"/>
          <w:highlight w:val="white"/>
          <w:lang w:eastAsia="zh-CN"/>
        </w:rPr>
        <w:t xml:space="preserve">    </w:t>
      </w:r>
      <w:r>
        <w:rPr>
          <w:rFonts w:ascii="宋体" w:cs="宋体" w:hint="eastAsia"/>
          <w:b/>
          <w:sz w:val="24"/>
          <w:highlight w:val="white"/>
          <w:lang w:eastAsia="zh-CN"/>
        </w:rPr>
        <w:t>年</w:t>
      </w:r>
      <w:r>
        <w:rPr>
          <w:rFonts w:ascii="宋体" w:cs="宋体"/>
          <w:b/>
          <w:sz w:val="24"/>
          <w:highlight w:val="white"/>
          <w:lang w:eastAsia="zh-CN"/>
        </w:rPr>
        <w:t xml:space="preserve">   </w:t>
      </w:r>
      <w:r>
        <w:rPr>
          <w:rFonts w:ascii="宋体" w:cs="宋体" w:hint="eastAsia"/>
          <w:b/>
          <w:sz w:val="24"/>
          <w:highlight w:val="white"/>
          <w:lang w:eastAsia="zh-CN"/>
        </w:rPr>
        <w:t>月</w:t>
      </w:r>
      <w:r>
        <w:rPr>
          <w:rFonts w:ascii="宋体" w:cs="宋体"/>
          <w:b/>
          <w:sz w:val="24"/>
          <w:highlight w:val="white"/>
          <w:lang w:eastAsia="zh-CN"/>
        </w:rPr>
        <w:t xml:space="preserve">   </w:t>
      </w:r>
      <w:r>
        <w:rPr>
          <w:rFonts w:ascii="宋体" w:cs="宋体" w:hint="eastAsia"/>
          <w:b/>
          <w:sz w:val="24"/>
          <w:highlight w:val="white"/>
          <w:lang w:eastAsia="zh-CN"/>
        </w:rPr>
        <w:t>日</w:t>
      </w:r>
      <w:bookmarkEnd w:id="44"/>
    </w:p>
    <w:p w:rsidR="009C732C">
      <w:pPr>
        <w:spacing w:line="360" w:lineRule="auto"/>
        <w:ind w:firstLine="420"/>
        <w:jc w:val="left"/>
        <w:rPr>
          <w:rFonts w:asci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Consolas"/>
    <w:charset w:val="00"/>
    <w:family w:val="auto"/>
    <w:pitch w:val="default"/>
  </w:font>
  <w:font w:name="Cambria">
    <w:altName w:val="Georg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pPr>
      <w:pStyle w:val="1"/>
      <w:snapToGrid/>
    </w:pPr>
  </w:p>
  <w:p w:rsidR="009C732C">
    <w:pPr>
      <w:pStyle w:val="1"/>
      <w:snapToGrid/>
    </w:pPr>
  </w:p>
  <w:p w:rsidR="009C732C">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pPr>
      <w:pStyle w:val="1"/>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109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73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B6EAD13"/>
    <w:multiLevelType w:val="multilevel"/>
    <w:tmpl w:val="7B6EAD13"/>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2C"/>
    <w:rsid w:val="8F379BC8"/>
    <w:rsid w:val="BFAFF914"/>
    <w:rsid w:val="CCEF3C3C"/>
    <w:rsid w:val="EBBF7630"/>
    <w:rsid w:val="000365D6"/>
    <w:rsid w:val="001A5424"/>
    <w:rsid w:val="002C5650"/>
    <w:rsid w:val="00653A5A"/>
    <w:rsid w:val="007C40E4"/>
    <w:rsid w:val="0089034A"/>
    <w:rsid w:val="009C732C"/>
    <w:rsid w:val="00FB0F0C"/>
    <w:rsid w:val="31FF69F7"/>
    <w:rsid w:val="5FF78E04"/>
    <w:rsid w:val="6FB9DF67"/>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B8744BD7-74FE-46A6-B5DE-3B57D12D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a7"/>
    <w:qFormat/>
    <w:pPr>
      <w:shd w:val="clear" w:color="000080" w:fill="000080"/>
    </w:pPr>
  </w:style>
  <w:style w:type="paragraph" w:styleId="CommentText">
    <w:name w:val="annotation text"/>
    <w:basedOn w:val="Normal"/>
    <w:link w:val="a6"/>
    <w:qFormat/>
    <w:pPr>
      <w:jc w:val="left"/>
    </w:pPr>
  </w:style>
  <w:style w:type="paragraph" w:styleId="BodyText">
    <w:name w:val="Body Text"/>
    <w:basedOn w:val="Normal"/>
    <w:link w:val="a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a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
    <w:qFormat/>
    <w:pPr>
      <w:spacing w:line="360" w:lineRule="auto"/>
      <w:ind w:firstLine="425"/>
    </w:pPr>
    <w:rPr>
      <w:rFonts w:ascii="仿宋_GB2312" w:eastAsia="仿宋_GB2312"/>
      <w:sz w:val="28"/>
    </w:rPr>
  </w:style>
  <w:style w:type="paragraph" w:styleId="EndnoteText">
    <w:name w:val="endnote text"/>
    <w:basedOn w:val="Normal"/>
    <w:link w:val="a"/>
    <w:uiPriority w:val="99"/>
    <w:semiHidden/>
    <w:unhideWhenUsed/>
    <w:qFormat/>
    <w:rPr>
      <w:sz w:val="20"/>
    </w:rPr>
  </w:style>
  <w:style w:type="paragraph" w:styleId="BalloonText">
    <w:name w:val="Balloon Text"/>
    <w:basedOn w:val="Normal"/>
    <w:link w:val="a9"/>
    <w:qFormat/>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a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a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2"/>
    <w:qFormat/>
    <w:pPr>
      <w:keepNext/>
      <w:keepLines/>
      <w:spacing w:before="120" w:after="120" w:line="360" w:lineRule="auto"/>
      <w:outlineLvl w:val="0"/>
    </w:pPr>
    <w:rPr>
      <w:rFonts w:ascii="宋体"/>
      <w:b/>
      <w:color w:val="000000"/>
      <w:sz w:val="24"/>
    </w:rPr>
  </w:style>
  <w:style w:type="paragraph" w:customStyle="1" w:styleId="1">
    <w:name w:val="页脚1"/>
    <w:basedOn w:val="Normal"/>
    <w:link w:val="a10"/>
    <w:qFormat/>
    <w:pPr>
      <w:tabs>
        <w:tab w:val="center" w:pos="4153"/>
        <w:tab w:val="right" w:pos="8306"/>
      </w:tabs>
      <w:snapToGrid w:val="0"/>
      <w:jc w:val="left"/>
    </w:pPr>
    <w:rPr>
      <w:sz w:val="18"/>
    </w:rPr>
  </w:style>
  <w:style w:type="paragraph" w:customStyle="1" w:styleId="10">
    <w:name w:val="页眉1"/>
    <w:basedOn w:val="Normal"/>
    <w:link w:val="a5"/>
    <w:qFormat/>
    <w:pPr>
      <w:pBdr>
        <w:bottom w:val="single" w:sz="6" w:space="1" w:color="auto"/>
      </w:pBdr>
      <w:tabs>
        <w:tab w:val="center" w:pos="4153"/>
        <w:tab w:val="right" w:pos="8306"/>
      </w:tabs>
      <w:snapToGrid w:val="0"/>
      <w:jc w:val="center"/>
    </w:pPr>
    <w:rPr>
      <w:sz w:val="18"/>
    </w:rPr>
  </w:style>
  <w:style w:type="character" w:customStyle="1" w:styleId="a">
    <w:name w:val="尾注文本 字符"/>
    <w:link w:val="EndnoteText"/>
    <w:uiPriority w:val="99"/>
    <w:qFormat/>
    <w:rPr>
      <w:sz w:val="20"/>
    </w:rPr>
  </w:style>
  <w:style w:type="paragraph" w:styleId="NoSpacing">
    <w:name w:val="No Spacing"/>
    <w:uiPriority w:val="1"/>
    <w:qFormat/>
    <w:rPr>
      <w:sz w:val="22"/>
      <w:szCs w:val="22"/>
      <w:lang w:eastAsia="en-US"/>
    </w:rPr>
  </w:style>
  <w:style w:type="character" w:customStyle="1" w:styleId="a0">
    <w:name w:val="副标题 字符"/>
    <w:basedOn w:val="DefaultParagraphFont"/>
    <w:link w:val="Subtitle"/>
    <w:uiPriority w:val="11"/>
    <w:qFormat/>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qFormat/>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character" w:customStyle="1" w:styleId="a3">
    <w:name w:val="正文文本 字符"/>
    <w:link w:val="BodyText"/>
    <w:qFormat/>
    <w:rPr>
      <w:rFonts w:ascii="宋体"/>
      <w:sz w:val="21"/>
    </w:rPr>
  </w:style>
  <w:style w:type="character" w:customStyle="1" w:styleId="a4">
    <w:name w:val="标题 字符"/>
    <w:link w:val="Title"/>
    <w:qFormat/>
    <w:rPr>
      <w:rFonts w:ascii="Cambria" w:hAnsi="Cambria"/>
      <w:b/>
      <w:sz w:val="32"/>
    </w:rPr>
  </w:style>
  <w:style w:type="character" w:customStyle="1" w:styleId="a5">
    <w:name w:val="页眉 字符"/>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a6">
    <w:name w:val="批注文字 字符"/>
    <w:link w:val="CommentText"/>
    <w:qFormat/>
    <w:rPr>
      <w:sz w:val="21"/>
    </w:rPr>
  </w:style>
  <w:style w:type="character" w:customStyle="1" w:styleId="12">
    <w:name w:val="标题 1 字符"/>
    <w:link w:val="11"/>
    <w:qFormat/>
    <w:rPr>
      <w:rFonts w:ascii="宋体"/>
      <w:b/>
      <w:color w:val="000000"/>
      <w:sz w:val="24"/>
    </w:rPr>
  </w:style>
  <w:style w:type="character" w:customStyle="1" w:styleId="a7">
    <w:name w:val="文档结构图 字符"/>
    <w:link w:val="DocumentMap"/>
    <w:qFormat/>
    <w:rPr>
      <w:sz w:val="21"/>
      <w:shd w:val="clear" w:color="000080" w:fill="000080"/>
    </w:rPr>
  </w:style>
  <w:style w:type="character" w:customStyle="1" w:styleId="a8">
    <w:name w:val="纯文本 字符"/>
    <w:link w:val="PlainText"/>
    <w:qFormat/>
    <w:rPr>
      <w:rFonts w:ascii="宋体" w:hAnsi="Courier New"/>
      <w:sz w:val="21"/>
    </w:rPr>
  </w:style>
  <w:style w:type="character" w:customStyle="1" w:styleId="3">
    <w:name w:val="正文文本缩进 3 字符"/>
    <w:link w:val="BodyTextIndent3"/>
    <w:qFormat/>
    <w:rPr>
      <w:color w:val="0000FF"/>
      <w:sz w:val="21"/>
    </w:rPr>
  </w:style>
  <w:style w:type="character" w:customStyle="1" w:styleId="2">
    <w:name w:val="正文文本缩进 2 字符"/>
    <w:link w:val="BodyTextIndent2"/>
    <w:qFormat/>
    <w:rPr>
      <w:rFonts w:ascii="仿宋_GB2312" w:eastAsia="仿宋_GB2312"/>
      <w:sz w:val="28"/>
    </w:rPr>
  </w:style>
  <w:style w:type="character" w:customStyle="1" w:styleId="a9">
    <w:name w:val="批注框文本 字符"/>
    <w:link w:val="BalloonText"/>
    <w:rPr>
      <w:sz w:val="18"/>
    </w:rPr>
  </w:style>
  <w:style w:type="character" w:customStyle="1" w:styleId="a10">
    <w:name w:val="页脚 字符"/>
    <w:link w:val="1"/>
    <w:qFormat/>
    <w:rPr>
      <w:sz w:val="18"/>
    </w:rPr>
  </w:style>
  <w:style w:type="character" w:customStyle="1" w:styleId="a11">
    <w:name w:val="脚注文本 字符"/>
    <w:link w:val="FootnoteText"/>
    <w:qFormat/>
    <w:rPr>
      <w:sz w:val="18"/>
    </w:rPr>
  </w:style>
  <w:style w:type="character" w:customStyle="1" w:styleId="a12">
    <w:name w:val="批注主题 字符"/>
    <w:link w:val="CommentSubject"/>
    <w:qFormat/>
    <w:rPr>
      <w:b/>
      <w:sz w:val="21"/>
    </w:rPr>
  </w:style>
  <w:style w:type="character" w:customStyle="1" w:styleId="HTML">
    <w:name w:val="HTML 预设格式 字符"/>
    <w:link w:val="HTMLPreformatted"/>
    <w:semiHidden/>
    <w:qFormat/>
    <w:rPr>
      <w:rFonts w:ascii="宋体"/>
      <w:sz w:val="24"/>
    </w:rPr>
  </w:style>
  <w:style w:type="paragraph" w:styleId="Header">
    <w:name w:val="header"/>
    <w:basedOn w:val="Normal"/>
    <w:link w:val="13"/>
    <w:uiPriority w:val="99"/>
    <w:unhideWhenUsed/>
    <w:rsid w:val="00FB0F0C"/>
    <w:pPr>
      <w:pBdr>
        <w:bottom w:val="single" w:sz="6" w:space="1" w:color="auto"/>
      </w:pBdr>
      <w:tabs>
        <w:tab w:val="center" w:pos="4153"/>
        <w:tab w:val="right" w:pos="8306"/>
      </w:tabs>
      <w:snapToGrid w:val="0"/>
      <w:jc w:val="center"/>
    </w:pPr>
    <w:rPr>
      <w:sz w:val="18"/>
      <w:szCs w:val="18"/>
    </w:rPr>
  </w:style>
  <w:style w:type="character" w:customStyle="1" w:styleId="13">
    <w:name w:val="页眉 字符1"/>
    <w:basedOn w:val="DefaultParagraphFont"/>
    <w:link w:val="Header"/>
    <w:uiPriority w:val="99"/>
    <w:rsid w:val="00FB0F0C"/>
    <w:rPr>
      <w:sz w:val="18"/>
      <w:szCs w:val="18"/>
      <w:lang w:eastAsia="en-US"/>
    </w:rPr>
  </w:style>
  <w:style w:type="paragraph" w:styleId="Footer">
    <w:name w:val="footer"/>
    <w:basedOn w:val="Normal"/>
    <w:link w:val="14"/>
    <w:uiPriority w:val="99"/>
    <w:unhideWhenUsed/>
    <w:rsid w:val="00FB0F0C"/>
    <w:pPr>
      <w:tabs>
        <w:tab w:val="center" w:pos="4153"/>
        <w:tab w:val="right" w:pos="8306"/>
      </w:tabs>
      <w:snapToGrid w:val="0"/>
      <w:jc w:val="left"/>
    </w:pPr>
    <w:rPr>
      <w:sz w:val="18"/>
      <w:szCs w:val="18"/>
    </w:rPr>
  </w:style>
  <w:style w:type="character" w:customStyle="1" w:styleId="14">
    <w:name w:val="页脚 字符1"/>
    <w:basedOn w:val="DefaultParagraphFont"/>
    <w:link w:val="Footer"/>
    <w:uiPriority w:val="99"/>
    <w:rsid w:val="00FB0F0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