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sz w:val="24"/>
        </w:rPr>
      </w:pPr>
    </w:p>
    <w:p w:rsidR="00052C6C">
      <w:pPr>
        <w:snapToGrid w:val="0"/>
        <w:jc w:val="center"/>
        <w:rPr>
          <w:rFonts w:ascii="宋体" w:hAnsi="宋体" w:cs="宋体"/>
          <w:b/>
          <w:sz w:val="44"/>
          <w:lang w:eastAsia="zh-CN"/>
        </w:rPr>
      </w:pPr>
      <w:r>
        <w:rPr>
          <w:rFonts w:ascii="宋体" w:hAnsi="宋体" w:cs="宋体" w:hint="eastAsia"/>
          <w:b/>
          <w:sz w:val="44"/>
          <w:lang w:eastAsia="zh-CN"/>
        </w:rPr>
        <w:t>易方达国证机器人产业交易型开放式指数证券投资基金发起式联接基金</w:t>
      </w:r>
    </w:p>
    <w:p w:rsidR="00052C6C">
      <w:pPr>
        <w:snapToGrid w:val="0"/>
        <w:jc w:val="center"/>
        <w:rPr>
          <w:rFonts w:ascii="宋体" w:hAnsi="宋体" w:cs="宋体"/>
          <w:b/>
          <w:sz w:val="44"/>
          <w:lang w:eastAsia="zh-CN"/>
        </w:rPr>
      </w:pPr>
      <w:r>
        <w:rPr>
          <w:rFonts w:ascii="宋体" w:hAnsi="宋体" w:cs="宋体" w:hint="eastAsia"/>
          <w:b/>
          <w:sz w:val="44"/>
          <w:highlight w:val="white"/>
          <w:lang w:eastAsia="zh-CN"/>
        </w:rPr>
        <w:t>托管协议</w:t>
      </w: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rPr>
          <w:rFonts w:ascii="宋体" w:hAnsi="宋体" w:cs="宋体"/>
          <w:sz w:val="24"/>
          <w:lang w:eastAsia="zh-CN"/>
        </w:rPr>
      </w:pPr>
    </w:p>
    <w:p w:rsidR="00052C6C">
      <w:pPr>
        <w:snapToGrid w:val="0"/>
        <w:jc w:val="center"/>
        <w:rPr>
          <w:rFonts w:ascii="宋体" w:hAnsi="宋体" w:cs="宋体"/>
          <w:sz w:val="24"/>
          <w:lang w:eastAsia="zh-CN"/>
        </w:rPr>
      </w:pPr>
    </w:p>
    <w:p w:rsidR="00052C6C">
      <w:pPr>
        <w:snapToGrid w:val="0"/>
        <w:jc w:val="center"/>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jc w:val="center"/>
        <w:outlineLvl w:val="0"/>
        <w:rPr>
          <w:rFonts w:ascii="宋体" w:hAnsi="宋体" w:cs="宋体"/>
          <w:sz w:val="24"/>
          <w:lang w:eastAsia="zh-CN"/>
        </w:rPr>
      </w:pPr>
    </w:p>
    <w:p w:rsidR="00052C6C">
      <w:pPr>
        <w:snapToGrid w:val="0"/>
        <w:ind w:firstLine="1961"/>
        <w:outlineLvl w:val="0"/>
        <w:rPr>
          <w:rFonts w:ascii="宋体" w:hAnsi="宋体" w:cs="宋体"/>
          <w:b/>
          <w:bCs/>
          <w:sz w:val="28"/>
          <w:lang w:eastAsia="zh-CN"/>
        </w:rPr>
      </w:pPr>
      <w:r>
        <w:rPr>
          <w:rFonts w:ascii="宋体" w:hAnsi="宋体" w:cs="宋体" w:hint="eastAsia"/>
          <w:b/>
          <w:bCs/>
          <w:sz w:val="28"/>
          <w:highlight w:val="white"/>
          <w:lang w:eastAsia="zh-CN"/>
        </w:rPr>
        <w:t>基金管理人：易方达基金管理有限公司</w:t>
      </w:r>
    </w:p>
    <w:p w:rsidR="00052C6C">
      <w:pPr>
        <w:tabs>
          <w:tab w:val="center" w:pos="4252"/>
          <w:tab w:val="left" w:pos="7530"/>
        </w:tabs>
        <w:snapToGrid w:val="0"/>
        <w:jc w:val="left"/>
        <w:outlineLvl w:val="0"/>
        <w:rPr>
          <w:rFonts w:ascii="宋体" w:hAnsi="宋体" w:cs="宋体"/>
          <w:b/>
          <w:bCs/>
          <w:sz w:val="28"/>
          <w:lang w:eastAsia="zh-CN"/>
        </w:rPr>
      </w:pPr>
      <w:r>
        <w:rPr>
          <w:rFonts w:ascii="宋体" w:hAnsi="宋体" w:cs="宋体" w:hint="eastAsia"/>
          <w:b/>
          <w:bCs/>
          <w:sz w:val="28"/>
          <w:highlight w:val="white"/>
          <w:lang w:eastAsia="zh-CN"/>
        </w:rPr>
        <w:tab/>
      </w:r>
      <w:r>
        <w:rPr>
          <w:rFonts w:ascii="宋体" w:hAnsi="宋体" w:cs="宋体" w:hint="eastAsia"/>
          <w:b/>
          <w:bCs/>
          <w:sz w:val="28"/>
          <w:highlight w:val="white"/>
          <w:lang w:eastAsia="zh-CN"/>
        </w:rPr>
        <w:t>基金托管人：中国建设银行股份有限公司</w:t>
      </w:r>
      <w:r>
        <w:rPr>
          <w:rFonts w:ascii="宋体" w:hAnsi="宋体" w:cs="宋体" w:hint="eastAsia"/>
          <w:b/>
          <w:bCs/>
          <w:sz w:val="28"/>
          <w:highlight w:val="white"/>
          <w:lang w:eastAsia="zh-CN"/>
        </w:rPr>
        <w:tab/>
      </w:r>
    </w:p>
    <w:p w:rsidR="00052C6C">
      <w:pPr>
        <w:snapToGrid w:val="0"/>
        <w:jc w:val="center"/>
        <w:outlineLvl w:val="0"/>
        <w:rPr>
          <w:rFonts w:ascii="宋体" w:hAnsi="宋体" w:cs="宋体"/>
          <w:sz w:val="24"/>
          <w:lang w:eastAsia="zh-CN"/>
        </w:rPr>
      </w:pPr>
    </w:p>
    <w:p w:rsidR="00052C6C">
      <w:pPr>
        <w:jc w:val="center"/>
        <w:rPr>
          <w:rFonts w:ascii="宋体" w:hAnsi="宋体" w:cs="宋体"/>
        </w:rPr>
      </w:pPr>
      <w:r>
        <w:rPr>
          <w:rFonts w:ascii="宋体" w:hAnsi="宋体" w:cs="宋体"/>
          <w:color w:val="000000"/>
          <w:sz w:val="28"/>
          <w:highlight w:val="white"/>
        </w:rPr>
        <w:t>二〇二</w:t>
      </w:r>
      <w:r w:rsidR="00855FAF">
        <w:rPr>
          <w:rFonts w:ascii="宋体" w:hAnsi="宋体" w:cs="宋体" w:hint="eastAsia"/>
          <w:color w:val="000000"/>
          <w:sz w:val="28"/>
          <w:highlight w:val="white"/>
          <w:lang w:eastAsia="zh-CN"/>
        </w:rPr>
        <w:t>四</w:t>
      </w:r>
      <w:r>
        <w:rPr>
          <w:rFonts w:ascii="宋体" w:hAnsi="宋体" w:cs="宋体"/>
          <w:color w:val="000000"/>
          <w:sz w:val="28"/>
          <w:highlight w:val="white"/>
        </w:rPr>
        <w:t>年</w:t>
      </w:r>
      <w:r>
        <w:rPr>
          <w:rFonts w:ascii="宋体" w:hAnsi="宋体" w:cs="宋体" w:hint="eastAsia"/>
          <w:color w:val="000000"/>
          <w:sz w:val="28"/>
          <w:highlight w:val="white"/>
          <w:lang w:eastAsia="zh-CN"/>
        </w:rPr>
        <w:t>四</w:t>
      </w:r>
      <w:r>
        <w:rPr>
          <w:rFonts w:ascii="宋体" w:hAnsi="宋体" w:cs="宋体"/>
          <w:color w:val="000000"/>
          <w:sz w:val="28"/>
          <w:highlight w:val="white"/>
        </w:rPr>
        <w:t>月</w:t>
      </w:r>
    </w:p>
    <w:p w:rsidR="00052C6C">
      <w:pPr>
        <w:tabs>
          <w:tab w:val="left" w:pos="6120"/>
        </w:tabs>
        <w:snapToGrid w:val="0"/>
        <w:jc w:val="center"/>
        <w:outlineLvl w:val="0"/>
        <w:rPr>
          <w:rFonts w:ascii="宋体" w:hAnsi="宋体" w:cs="宋体"/>
          <w:b/>
          <w:bCs/>
          <w:sz w:val="28"/>
        </w:rPr>
      </w:pPr>
    </w:p>
    <w:p w:rsidR="00052C6C">
      <w:pPr>
        <w:snapToGrid w:val="0"/>
        <w:outlineLvl w:val="0"/>
        <w:rPr>
          <w:rFonts w:ascii="宋体" w:hAnsi="宋体" w:cs="宋体"/>
          <w:sz w:val="24"/>
        </w:rPr>
      </w:pPr>
      <w:r>
        <w:rPr>
          <w:rFonts w:ascii="宋体" w:hAnsi="宋体" w:cs="宋体" w:hint="eastAsia"/>
          <w:sz w:val="24"/>
          <w:highlight w:val="white"/>
        </w:rPr>
        <w:t xml:space="preserve">                          </w:t>
      </w:r>
    </w:p>
    <w:p w:rsidR="00052C6C">
      <w:pPr>
        <w:snapToGrid w:val="0"/>
        <w:jc w:val="center"/>
        <w:rPr>
          <w:rFonts w:ascii="宋体" w:hAnsi="宋体" w:cs="宋体"/>
          <w:bCs/>
          <w:sz w:val="24"/>
        </w:rPr>
      </w:pPr>
    </w:p>
    <w:p w:rsidR="00052C6C">
      <w:pPr>
        <w:widowControl/>
        <w:jc w:val="left"/>
        <w:rPr>
          <w:rFonts w:ascii="宋体" w:hAnsi="宋体" w:cs="宋体"/>
          <w:sz w:val="24"/>
        </w:rPr>
        <w:sectPr>
          <w:footerReference w:type="default" r:id="rId5"/>
          <w:pgSz w:w="11906" w:h="16838"/>
          <w:pgMar w:top="1418" w:right="1701" w:bottom="1418" w:left="1701" w:header="851" w:footer="992" w:gutter="0"/>
          <w:cols w:space="720"/>
          <w:docGrid w:type="lines" w:linePitch="312"/>
        </w:sectPr>
      </w:pPr>
    </w:p>
    <w:p w:rsidR="00052C6C">
      <w:pPr>
        <w:jc w:val="center"/>
        <w:rPr>
          <w:rFonts w:ascii="宋体" w:hAnsi="宋体" w:cs="宋体"/>
          <w:b/>
          <w:bCs/>
          <w:sz w:val="30"/>
        </w:rPr>
      </w:pPr>
      <w:r>
        <w:rPr>
          <w:rFonts w:ascii="宋体" w:hAnsi="宋体" w:cs="宋体" w:hint="eastAsia"/>
          <w:b/>
          <w:bCs/>
          <w:sz w:val="30"/>
          <w:highlight w:val="white"/>
        </w:rPr>
        <w:t>目</w:t>
      </w:r>
      <w:r>
        <w:rPr>
          <w:rFonts w:ascii="宋体" w:hAnsi="宋体" w:cs="宋体" w:hint="eastAsia"/>
          <w:b/>
          <w:bCs/>
          <w:sz w:val="30"/>
          <w:highlight w:val="white"/>
        </w:rPr>
        <w:t xml:space="preserve">    </w:t>
      </w:r>
      <w:r>
        <w:rPr>
          <w:rFonts w:ascii="宋体" w:hAnsi="宋体" w:cs="宋体" w:hint="eastAsia"/>
          <w:b/>
          <w:bCs/>
          <w:sz w:val="30"/>
          <w:highlight w:val="white"/>
        </w:rPr>
        <w:t>录</w:t>
      </w:r>
    </w:p>
    <w:p w:rsidR="001460C7">
      <w:pPr>
        <w:pStyle w:val="TOC2"/>
        <w:rPr>
          <w:rFonts w:asciiTheme="minorHAnsi" w:eastAsiaTheme="minorEastAsia" w:hAnsiTheme="minorHAnsi" w:cstheme="minorBidi"/>
          <w:noProof/>
          <w:kern w:val="2"/>
          <w:szCs w:val="22"/>
          <w:lang w:eastAsia="zh-CN"/>
        </w:rPr>
      </w:pPr>
      <w:r>
        <w:rPr>
          <w:rFonts w:ascii="宋体" w:hAnsi="宋体" w:cs="宋体"/>
        </w:rPr>
        <w:fldChar w:fldCharType="begin"/>
      </w:r>
      <w:r>
        <w:rPr>
          <w:rFonts w:ascii="宋体" w:hAnsi="宋体" w:cs="宋体"/>
          <w:highlight w:val="white"/>
        </w:rPr>
        <w:instrText xml:space="preserve"> TOC \o "1-2" \h \z </w:instrText>
      </w:r>
      <w:r>
        <w:rPr>
          <w:rFonts w:ascii="宋体" w:hAnsi="宋体" w:cs="宋体"/>
        </w:rPr>
        <w:fldChar w:fldCharType="separate"/>
      </w:r>
      <w:hyperlink w:anchor="_Toc164350586" w:history="1">
        <w:r w:rsidRPr="00D83993">
          <w:rPr>
            <w:rStyle w:val="Hyperlink"/>
            <w:rFonts w:ascii="宋体" w:hAnsi="宋体" w:cs="宋体"/>
            <w:noProof/>
            <w:highlight w:val="white"/>
            <w:lang w:eastAsia="zh-CN"/>
          </w:rPr>
          <w:t>一、基金托管协议当事人</w:t>
        </w:r>
        <w:r>
          <w:rPr>
            <w:noProof/>
            <w:webHidden/>
          </w:rPr>
          <w:tab/>
        </w:r>
        <w:r>
          <w:rPr>
            <w:noProof/>
            <w:webHidden/>
          </w:rPr>
          <w:fldChar w:fldCharType="begin"/>
        </w:r>
        <w:r>
          <w:rPr>
            <w:noProof/>
            <w:webHidden/>
          </w:rPr>
          <w:instrText xml:space="preserve"> PAGEREF _Toc164350586 \h </w:instrText>
        </w:r>
        <w:r>
          <w:rPr>
            <w:noProof/>
            <w:webHidden/>
          </w:rPr>
          <w:fldChar w:fldCharType="separate"/>
        </w:r>
        <w:r>
          <w:rPr>
            <w:noProof/>
            <w:webHidden/>
          </w:rPr>
          <w:t>3</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87" w:history="1">
        <w:r w:rsidRPr="00D83993">
          <w:rPr>
            <w:rStyle w:val="Hyperlink"/>
            <w:rFonts w:ascii="宋体" w:hAnsi="宋体" w:cs="宋体"/>
            <w:noProof/>
            <w:highlight w:val="white"/>
            <w:lang w:eastAsia="zh-CN"/>
          </w:rPr>
          <w:t>二、基金托管协议的依据、目的和原则</w:t>
        </w:r>
        <w:r>
          <w:rPr>
            <w:noProof/>
            <w:webHidden/>
          </w:rPr>
          <w:tab/>
        </w:r>
        <w:r>
          <w:rPr>
            <w:noProof/>
            <w:webHidden/>
          </w:rPr>
          <w:fldChar w:fldCharType="begin"/>
        </w:r>
        <w:r>
          <w:rPr>
            <w:noProof/>
            <w:webHidden/>
          </w:rPr>
          <w:instrText xml:space="preserve"> PAGEREF _Toc164350587 \h </w:instrText>
        </w:r>
        <w:r>
          <w:rPr>
            <w:noProof/>
            <w:webHidden/>
          </w:rPr>
          <w:fldChar w:fldCharType="separate"/>
        </w:r>
        <w:r>
          <w:rPr>
            <w:noProof/>
            <w:webHidden/>
          </w:rPr>
          <w:t>4</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88" w:history="1">
        <w:r w:rsidRPr="00D83993">
          <w:rPr>
            <w:rStyle w:val="Hyperlink"/>
            <w:rFonts w:ascii="宋体" w:hAnsi="宋体" w:cs="宋体"/>
            <w:noProof/>
            <w:highlight w:val="white"/>
            <w:lang w:eastAsia="zh-CN"/>
          </w:rPr>
          <w:t>三、基金托管人对基金管理人的业务监督和核查</w:t>
        </w:r>
        <w:r>
          <w:rPr>
            <w:noProof/>
            <w:webHidden/>
          </w:rPr>
          <w:tab/>
        </w:r>
        <w:r>
          <w:rPr>
            <w:noProof/>
            <w:webHidden/>
          </w:rPr>
          <w:fldChar w:fldCharType="begin"/>
        </w:r>
        <w:r>
          <w:rPr>
            <w:noProof/>
            <w:webHidden/>
          </w:rPr>
          <w:instrText xml:space="preserve"> PAGEREF _Toc164350588 \h </w:instrText>
        </w:r>
        <w:r>
          <w:rPr>
            <w:noProof/>
            <w:webHidden/>
          </w:rPr>
          <w:fldChar w:fldCharType="separate"/>
        </w:r>
        <w:r>
          <w:rPr>
            <w:noProof/>
            <w:webHidden/>
          </w:rPr>
          <w:t>4</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89" w:history="1">
        <w:r w:rsidRPr="00D83993">
          <w:rPr>
            <w:rStyle w:val="Hyperlink"/>
            <w:rFonts w:ascii="宋体" w:hAnsi="宋体" w:cs="宋体"/>
            <w:noProof/>
            <w:highlight w:val="white"/>
            <w:lang w:eastAsia="zh-CN"/>
          </w:rPr>
          <w:t>四、基金管理人对基金托管人的业务核查</w:t>
        </w:r>
        <w:r>
          <w:rPr>
            <w:noProof/>
            <w:webHidden/>
          </w:rPr>
          <w:tab/>
        </w:r>
        <w:r>
          <w:rPr>
            <w:noProof/>
            <w:webHidden/>
          </w:rPr>
          <w:fldChar w:fldCharType="begin"/>
        </w:r>
        <w:r>
          <w:rPr>
            <w:noProof/>
            <w:webHidden/>
          </w:rPr>
          <w:instrText xml:space="preserve"> PAGEREF _Toc164350589 \h </w:instrText>
        </w:r>
        <w:r>
          <w:rPr>
            <w:noProof/>
            <w:webHidden/>
          </w:rPr>
          <w:fldChar w:fldCharType="separate"/>
        </w:r>
        <w:r>
          <w:rPr>
            <w:noProof/>
            <w:webHidden/>
          </w:rPr>
          <w:t>8</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0" w:history="1">
        <w:r w:rsidRPr="00D83993">
          <w:rPr>
            <w:rStyle w:val="Hyperlink"/>
            <w:rFonts w:ascii="宋体" w:hAnsi="宋体" w:cs="宋体"/>
            <w:noProof/>
            <w:highlight w:val="white"/>
            <w:lang w:eastAsia="zh-CN"/>
          </w:rPr>
          <w:t>五、基金财产的保管</w:t>
        </w:r>
        <w:r>
          <w:rPr>
            <w:noProof/>
            <w:webHidden/>
          </w:rPr>
          <w:tab/>
        </w:r>
        <w:r>
          <w:rPr>
            <w:noProof/>
            <w:webHidden/>
          </w:rPr>
          <w:fldChar w:fldCharType="begin"/>
        </w:r>
        <w:r>
          <w:rPr>
            <w:noProof/>
            <w:webHidden/>
          </w:rPr>
          <w:instrText xml:space="preserve"> PAGEREF _Toc164350590 \h </w:instrText>
        </w:r>
        <w:r>
          <w:rPr>
            <w:noProof/>
            <w:webHidden/>
          </w:rPr>
          <w:fldChar w:fldCharType="separate"/>
        </w:r>
        <w:r>
          <w:rPr>
            <w:noProof/>
            <w:webHidden/>
          </w:rPr>
          <w:t>8</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1" w:history="1">
        <w:r w:rsidRPr="00D83993">
          <w:rPr>
            <w:rStyle w:val="Hyperlink"/>
            <w:rFonts w:ascii="宋体" w:hAnsi="宋体" w:cs="宋体"/>
            <w:noProof/>
            <w:highlight w:val="white"/>
            <w:lang w:eastAsia="zh-CN"/>
          </w:rPr>
          <w:t>六、指令的发送、确认及执行</w:t>
        </w:r>
        <w:r>
          <w:rPr>
            <w:noProof/>
            <w:webHidden/>
          </w:rPr>
          <w:tab/>
        </w:r>
        <w:r>
          <w:rPr>
            <w:noProof/>
            <w:webHidden/>
          </w:rPr>
          <w:fldChar w:fldCharType="begin"/>
        </w:r>
        <w:r>
          <w:rPr>
            <w:noProof/>
            <w:webHidden/>
          </w:rPr>
          <w:instrText xml:space="preserve"> PAGEREF _Toc164350591 \h </w:instrText>
        </w:r>
        <w:r>
          <w:rPr>
            <w:noProof/>
            <w:webHidden/>
          </w:rPr>
          <w:fldChar w:fldCharType="separate"/>
        </w:r>
        <w:r>
          <w:rPr>
            <w:noProof/>
            <w:webHidden/>
          </w:rPr>
          <w:t>11</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2" w:history="1">
        <w:r w:rsidRPr="00D83993">
          <w:rPr>
            <w:rStyle w:val="Hyperlink"/>
            <w:rFonts w:ascii="宋体" w:hAnsi="宋体" w:cs="宋体"/>
            <w:noProof/>
            <w:highlight w:val="white"/>
          </w:rPr>
          <w:t>七、交易及清算交收安排</w:t>
        </w:r>
        <w:r>
          <w:rPr>
            <w:noProof/>
            <w:webHidden/>
          </w:rPr>
          <w:tab/>
        </w:r>
        <w:r>
          <w:rPr>
            <w:noProof/>
            <w:webHidden/>
          </w:rPr>
          <w:fldChar w:fldCharType="begin"/>
        </w:r>
        <w:r>
          <w:rPr>
            <w:noProof/>
            <w:webHidden/>
          </w:rPr>
          <w:instrText xml:space="preserve"> PAGEREF _Toc164350592 \h </w:instrText>
        </w:r>
        <w:r>
          <w:rPr>
            <w:noProof/>
            <w:webHidden/>
          </w:rPr>
          <w:fldChar w:fldCharType="separate"/>
        </w:r>
        <w:r>
          <w:rPr>
            <w:noProof/>
            <w:webHidden/>
          </w:rPr>
          <w:t>12</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3" w:history="1">
        <w:r w:rsidRPr="00D83993">
          <w:rPr>
            <w:rStyle w:val="Hyperlink"/>
            <w:rFonts w:ascii="宋体" w:hAnsi="宋体" w:cs="宋体"/>
            <w:noProof/>
            <w:highlight w:val="white"/>
            <w:lang w:eastAsia="zh-CN"/>
          </w:rPr>
          <w:t>八、基金资产净值计算和会计核算</w:t>
        </w:r>
        <w:r>
          <w:rPr>
            <w:noProof/>
            <w:webHidden/>
          </w:rPr>
          <w:tab/>
        </w:r>
        <w:r>
          <w:rPr>
            <w:noProof/>
            <w:webHidden/>
          </w:rPr>
          <w:fldChar w:fldCharType="begin"/>
        </w:r>
        <w:r>
          <w:rPr>
            <w:noProof/>
            <w:webHidden/>
          </w:rPr>
          <w:instrText xml:space="preserve"> PAGEREF _Toc164350593 \h </w:instrText>
        </w:r>
        <w:r>
          <w:rPr>
            <w:noProof/>
            <w:webHidden/>
          </w:rPr>
          <w:fldChar w:fldCharType="separate"/>
        </w:r>
        <w:r>
          <w:rPr>
            <w:noProof/>
            <w:webHidden/>
          </w:rPr>
          <w:t>16</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4" w:history="1">
        <w:r w:rsidRPr="00D83993">
          <w:rPr>
            <w:rStyle w:val="Hyperlink"/>
            <w:rFonts w:ascii="宋体" w:hAnsi="宋体" w:cs="宋体"/>
            <w:noProof/>
            <w:highlight w:val="white"/>
            <w:lang w:eastAsia="zh-CN"/>
          </w:rPr>
          <w:t>九、基金收益分配</w:t>
        </w:r>
        <w:r>
          <w:rPr>
            <w:noProof/>
            <w:webHidden/>
          </w:rPr>
          <w:tab/>
        </w:r>
        <w:r>
          <w:rPr>
            <w:noProof/>
            <w:webHidden/>
          </w:rPr>
          <w:fldChar w:fldCharType="begin"/>
        </w:r>
        <w:r>
          <w:rPr>
            <w:noProof/>
            <w:webHidden/>
          </w:rPr>
          <w:instrText xml:space="preserve"> PAGEREF _Toc164350594 \h </w:instrText>
        </w:r>
        <w:r>
          <w:rPr>
            <w:noProof/>
            <w:webHidden/>
          </w:rPr>
          <w:fldChar w:fldCharType="separate"/>
        </w:r>
        <w:r>
          <w:rPr>
            <w:noProof/>
            <w:webHidden/>
          </w:rPr>
          <w:t>19</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5" w:history="1">
        <w:r w:rsidRPr="00D83993">
          <w:rPr>
            <w:rStyle w:val="Hyperlink"/>
            <w:rFonts w:ascii="宋体" w:hAnsi="宋体" w:cs="宋体"/>
            <w:noProof/>
            <w:highlight w:val="white"/>
            <w:lang w:eastAsia="zh-CN"/>
          </w:rPr>
          <w:t>十、基金信息披露</w:t>
        </w:r>
        <w:r>
          <w:rPr>
            <w:noProof/>
            <w:webHidden/>
          </w:rPr>
          <w:tab/>
        </w:r>
        <w:r>
          <w:rPr>
            <w:noProof/>
            <w:webHidden/>
          </w:rPr>
          <w:fldChar w:fldCharType="begin"/>
        </w:r>
        <w:r>
          <w:rPr>
            <w:noProof/>
            <w:webHidden/>
          </w:rPr>
          <w:instrText xml:space="preserve"> PAGEREF _Toc164350595 \h </w:instrText>
        </w:r>
        <w:r>
          <w:rPr>
            <w:noProof/>
            <w:webHidden/>
          </w:rPr>
          <w:fldChar w:fldCharType="separate"/>
        </w:r>
        <w:r>
          <w:rPr>
            <w:noProof/>
            <w:webHidden/>
          </w:rPr>
          <w:t>20</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6" w:history="1">
        <w:r w:rsidRPr="00D83993">
          <w:rPr>
            <w:rStyle w:val="Hyperlink"/>
            <w:rFonts w:ascii="宋体" w:hAnsi="宋体" w:cs="宋体"/>
            <w:noProof/>
            <w:highlight w:val="white"/>
            <w:lang w:eastAsia="zh-CN"/>
          </w:rPr>
          <w:t>十一、基金费用</w:t>
        </w:r>
        <w:r>
          <w:rPr>
            <w:noProof/>
            <w:webHidden/>
          </w:rPr>
          <w:tab/>
        </w:r>
        <w:r>
          <w:rPr>
            <w:noProof/>
            <w:webHidden/>
          </w:rPr>
          <w:fldChar w:fldCharType="begin"/>
        </w:r>
        <w:r>
          <w:rPr>
            <w:noProof/>
            <w:webHidden/>
          </w:rPr>
          <w:instrText xml:space="preserve"> PAGEREF _Toc164350596 \h </w:instrText>
        </w:r>
        <w:r>
          <w:rPr>
            <w:noProof/>
            <w:webHidden/>
          </w:rPr>
          <w:fldChar w:fldCharType="separate"/>
        </w:r>
        <w:r>
          <w:rPr>
            <w:noProof/>
            <w:webHidden/>
          </w:rPr>
          <w:t>21</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7" w:history="1">
        <w:r w:rsidRPr="00D83993">
          <w:rPr>
            <w:rStyle w:val="Hyperlink"/>
            <w:rFonts w:ascii="宋体" w:hAnsi="宋体" w:cs="宋体"/>
            <w:noProof/>
            <w:highlight w:val="white"/>
            <w:lang w:eastAsia="zh-CN"/>
          </w:rPr>
          <w:t>十二、基金份额持有人名册的保管</w:t>
        </w:r>
        <w:r>
          <w:rPr>
            <w:noProof/>
            <w:webHidden/>
          </w:rPr>
          <w:tab/>
        </w:r>
        <w:r>
          <w:rPr>
            <w:noProof/>
            <w:webHidden/>
          </w:rPr>
          <w:fldChar w:fldCharType="begin"/>
        </w:r>
        <w:r>
          <w:rPr>
            <w:noProof/>
            <w:webHidden/>
          </w:rPr>
          <w:instrText xml:space="preserve"> PAGEREF _Toc164350597 \h </w:instrText>
        </w:r>
        <w:r>
          <w:rPr>
            <w:noProof/>
            <w:webHidden/>
          </w:rPr>
          <w:fldChar w:fldCharType="separate"/>
        </w:r>
        <w:r>
          <w:rPr>
            <w:noProof/>
            <w:webHidden/>
          </w:rPr>
          <w:t>23</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8" w:history="1">
        <w:r w:rsidRPr="00D83993">
          <w:rPr>
            <w:rStyle w:val="Hyperlink"/>
            <w:rFonts w:ascii="宋体" w:hAnsi="宋体" w:cs="宋体"/>
            <w:noProof/>
            <w:highlight w:val="white"/>
            <w:lang w:eastAsia="zh-CN"/>
          </w:rPr>
          <w:t>十三、基金有关文件档案的保存</w:t>
        </w:r>
        <w:r>
          <w:rPr>
            <w:noProof/>
            <w:webHidden/>
          </w:rPr>
          <w:tab/>
        </w:r>
        <w:r>
          <w:rPr>
            <w:noProof/>
            <w:webHidden/>
          </w:rPr>
          <w:fldChar w:fldCharType="begin"/>
        </w:r>
        <w:r>
          <w:rPr>
            <w:noProof/>
            <w:webHidden/>
          </w:rPr>
          <w:instrText xml:space="preserve"> PAGEREF _Toc164350598 \h </w:instrText>
        </w:r>
        <w:r>
          <w:rPr>
            <w:noProof/>
            <w:webHidden/>
          </w:rPr>
          <w:fldChar w:fldCharType="separate"/>
        </w:r>
        <w:r>
          <w:rPr>
            <w:noProof/>
            <w:webHidden/>
          </w:rPr>
          <w:t>23</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599" w:history="1">
        <w:r w:rsidRPr="00D83993">
          <w:rPr>
            <w:rStyle w:val="Hyperlink"/>
            <w:rFonts w:ascii="宋体" w:hAnsi="宋体" w:cs="宋体"/>
            <w:noProof/>
            <w:highlight w:val="white"/>
            <w:lang w:eastAsia="zh-CN"/>
          </w:rPr>
          <w:t>十四、基金管理人和基金托管人的更换</w:t>
        </w:r>
        <w:r>
          <w:rPr>
            <w:noProof/>
            <w:webHidden/>
          </w:rPr>
          <w:tab/>
        </w:r>
        <w:r>
          <w:rPr>
            <w:noProof/>
            <w:webHidden/>
          </w:rPr>
          <w:fldChar w:fldCharType="begin"/>
        </w:r>
        <w:r>
          <w:rPr>
            <w:noProof/>
            <w:webHidden/>
          </w:rPr>
          <w:instrText xml:space="preserve"> PAGEREF _Toc164350599 \h </w:instrText>
        </w:r>
        <w:r>
          <w:rPr>
            <w:noProof/>
            <w:webHidden/>
          </w:rPr>
          <w:fldChar w:fldCharType="separate"/>
        </w:r>
        <w:r>
          <w:rPr>
            <w:noProof/>
            <w:webHidden/>
          </w:rPr>
          <w:t>23</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0" w:history="1">
        <w:r w:rsidRPr="00D83993">
          <w:rPr>
            <w:rStyle w:val="Hyperlink"/>
            <w:rFonts w:ascii="宋体" w:hAnsi="宋体" w:cs="宋体"/>
            <w:noProof/>
            <w:highlight w:val="white"/>
            <w:lang w:eastAsia="zh-CN"/>
          </w:rPr>
          <w:t>十五、禁止行为</w:t>
        </w:r>
        <w:r>
          <w:rPr>
            <w:noProof/>
            <w:webHidden/>
          </w:rPr>
          <w:tab/>
        </w:r>
        <w:r>
          <w:rPr>
            <w:noProof/>
            <w:webHidden/>
          </w:rPr>
          <w:fldChar w:fldCharType="begin"/>
        </w:r>
        <w:r>
          <w:rPr>
            <w:noProof/>
            <w:webHidden/>
          </w:rPr>
          <w:instrText xml:space="preserve"> PAGEREF _Toc164350600 \h </w:instrText>
        </w:r>
        <w:r>
          <w:rPr>
            <w:noProof/>
            <w:webHidden/>
          </w:rPr>
          <w:fldChar w:fldCharType="separate"/>
        </w:r>
        <w:r>
          <w:rPr>
            <w:noProof/>
            <w:webHidden/>
          </w:rPr>
          <w:t>25</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1" w:history="1">
        <w:r w:rsidRPr="00D83993">
          <w:rPr>
            <w:rStyle w:val="Hyperlink"/>
            <w:rFonts w:ascii="宋体" w:hAnsi="宋体" w:cs="宋体"/>
            <w:noProof/>
            <w:highlight w:val="white"/>
            <w:lang w:eastAsia="zh-CN"/>
          </w:rPr>
          <w:t>十六、托管协议的变更、终止与基金财产的清算</w:t>
        </w:r>
        <w:r>
          <w:rPr>
            <w:noProof/>
            <w:webHidden/>
          </w:rPr>
          <w:tab/>
        </w:r>
        <w:r>
          <w:rPr>
            <w:noProof/>
            <w:webHidden/>
          </w:rPr>
          <w:fldChar w:fldCharType="begin"/>
        </w:r>
        <w:r>
          <w:rPr>
            <w:noProof/>
            <w:webHidden/>
          </w:rPr>
          <w:instrText xml:space="preserve"> PAGEREF _Toc164350601 \h </w:instrText>
        </w:r>
        <w:r>
          <w:rPr>
            <w:noProof/>
            <w:webHidden/>
          </w:rPr>
          <w:fldChar w:fldCharType="separate"/>
        </w:r>
        <w:r>
          <w:rPr>
            <w:noProof/>
            <w:webHidden/>
          </w:rPr>
          <w:t>26</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2" w:history="1">
        <w:r w:rsidRPr="00D83993">
          <w:rPr>
            <w:rStyle w:val="Hyperlink"/>
            <w:rFonts w:ascii="宋体" w:hAnsi="宋体" w:cs="宋体"/>
            <w:noProof/>
            <w:highlight w:val="white"/>
            <w:lang w:eastAsia="zh-CN"/>
          </w:rPr>
          <w:t>十七、违约责任</w:t>
        </w:r>
        <w:r>
          <w:rPr>
            <w:noProof/>
            <w:webHidden/>
          </w:rPr>
          <w:tab/>
        </w:r>
        <w:r>
          <w:rPr>
            <w:noProof/>
            <w:webHidden/>
          </w:rPr>
          <w:fldChar w:fldCharType="begin"/>
        </w:r>
        <w:r>
          <w:rPr>
            <w:noProof/>
            <w:webHidden/>
          </w:rPr>
          <w:instrText xml:space="preserve"> PAGEREF _Toc164350602 \h </w:instrText>
        </w:r>
        <w:r>
          <w:rPr>
            <w:noProof/>
            <w:webHidden/>
          </w:rPr>
          <w:fldChar w:fldCharType="separate"/>
        </w:r>
        <w:r>
          <w:rPr>
            <w:noProof/>
            <w:webHidden/>
          </w:rPr>
          <w:t>27</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3" w:history="1">
        <w:r w:rsidRPr="00D83993">
          <w:rPr>
            <w:rStyle w:val="Hyperlink"/>
            <w:rFonts w:ascii="宋体" w:hAnsi="宋体" w:cs="宋体"/>
            <w:noProof/>
            <w:highlight w:val="white"/>
            <w:lang w:eastAsia="zh-CN"/>
          </w:rPr>
          <w:t>十八、争议解决方式</w:t>
        </w:r>
        <w:r>
          <w:rPr>
            <w:noProof/>
            <w:webHidden/>
          </w:rPr>
          <w:tab/>
        </w:r>
        <w:r>
          <w:rPr>
            <w:noProof/>
            <w:webHidden/>
          </w:rPr>
          <w:fldChar w:fldCharType="begin"/>
        </w:r>
        <w:r>
          <w:rPr>
            <w:noProof/>
            <w:webHidden/>
          </w:rPr>
          <w:instrText xml:space="preserve"> PAGEREF _Toc164350603 \h </w:instrText>
        </w:r>
        <w:r>
          <w:rPr>
            <w:noProof/>
            <w:webHidden/>
          </w:rPr>
          <w:fldChar w:fldCharType="separate"/>
        </w:r>
        <w:r>
          <w:rPr>
            <w:noProof/>
            <w:webHidden/>
          </w:rPr>
          <w:t>27</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4" w:history="1">
        <w:r w:rsidRPr="00D83993">
          <w:rPr>
            <w:rStyle w:val="Hyperlink"/>
            <w:rFonts w:ascii="宋体" w:hAnsi="宋体" w:cs="宋体"/>
            <w:noProof/>
            <w:highlight w:val="white"/>
            <w:lang w:eastAsia="zh-CN"/>
          </w:rPr>
          <w:t>十九、托管协议的效力</w:t>
        </w:r>
        <w:r>
          <w:rPr>
            <w:noProof/>
            <w:webHidden/>
          </w:rPr>
          <w:tab/>
        </w:r>
        <w:r>
          <w:rPr>
            <w:noProof/>
            <w:webHidden/>
          </w:rPr>
          <w:fldChar w:fldCharType="begin"/>
        </w:r>
        <w:r>
          <w:rPr>
            <w:noProof/>
            <w:webHidden/>
          </w:rPr>
          <w:instrText xml:space="preserve"> PAGEREF _Toc164350604 \h </w:instrText>
        </w:r>
        <w:r>
          <w:rPr>
            <w:noProof/>
            <w:webHidden/>
          </w:rPr>
          <w:fldChar w:fldCharType="separate"/>
        </w:r>
        <w:r>
          <w:rPr>
            <w:noProof/>
            <w:webHidden/>
          </w:rPr>
          <w:t>28</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5" w:history="1">
        <w:r w:rsidRPr="00D83993">
          <w:rPr>
            <w:rStyle w:val="Hyperlink"/>
            <w:rFonts w:ascii="宋体" w:hAnsi="宋体" w:cs="宋体"/>
            <w:noProof/>
            <w:highlight w:val="white"/>
            <w:lang w:eastAsia="zh-CN"/>
          </w:rPr>
          <w:t>二十、其他事项</w:t>
        </w:r>
        <w:r>
          <w:rPr>
            <w:noProof/>
            <w:webHidden/>
          </w:rPr>
          <w:tab/>
        </w:r>
        <w:r>
          <w:rPr>
            <w:noProof/>
            <w:webHidden/>
          </w:rPr>
          <w:fldChar w:fldCharType="begin"/>
        </w:r>
        <w:r>
          <w:rPr>
            <w:noProof/>
            <w:webHidden/>
          </w:rPr>
          <w:instrText xml:space="preserve"> PAGEREF _Toc164350605 \h </w:instrText>
        </w:r>
        <w:r>
          <w:rPr>
            <w:noProof/>
            <w:webHidden/>
          </w:rPr>
          <w:fldChar w:fldCharType="separate"/>
        </w:r>
        <w:r>
          <w:rPr>
            <w:noProof/>
            <w:webHidden/>
          </w:rPr>
          <w:t>28</w:t>
        </w:r>
        <w:r>
          <w:rPr>
            <w:noProof/>
            <w:webHidden/>
          </w:rPr>
          <w:fldChar w:fldCharType="end"/>
        </w:r>
      </w:hyperlink>
    </w:p>
    <w:p w:rsidR="001460C7">
      <w:pPr>
        <w:pStyle w:val="TOC2"/>
        <w:rPr>
          <w:rFonts w:asciiTheme="minorHAnsi" w:eastAsiaTheme="minorEastAsia" w:hAnsiTheme="minorHAnsi" w:cstheme="minorBidi"/>
          <w:noProof/>
          <w:kern w:val="2"/>
          <w:szCs w:val="22"/>
          <w:lang w:eastAsia="zh-CN"/>
        </w:rPr>
      </w:pPr>
      <w:hyperlink w:anchor="_Toc164350606" w:history="1">
        <w:r w:rsidRPr="00D83993">
          <w:rPr>
            <w:rStyle w:val="Hyperlink"/>
            <w:rFonts w:ascii="宋体" w:hAnsi="宋体" w:cs="宋体"/>
            <w:noProof/>
            <w:highlight w:val="white"/>
            <w:lang w:eastAsia="zh-CN"/>
          </w:rPr>
          <w:t>二十一、托管协议的签订</w:t>
        </w:r>
        <w:r>
          <w:rPr>
            <w:noProof/>
            <w:webHidden/>
          </w:rPr>
          <w:tab/>
        </w:r>
        <w:r>
          <w:rPr>
            <w:noProof/>
            <w:webHidden/>
          </w:rPr>
          <w:fldChar w:fldCharType="begin"/>
        </w:r>
        <w:r>
          <w:rPr>
            <w:noProof/>
            <w:webHidden/>
          </w:rPr>
          <w:instrText xml:space="preserve"> PAGEREF _Toc164350606 \h </w:instrText>
        </w:r>
        <w:r>
          <w:rPr>
            <w:noProof/>
            <w:webHidden/>
          </w:rPr>
          <w:fldChar w:fldCharType="separate"/>
        </w:r>
        <w:r>
          <w:rPr>
            <w:noProof/>
            <w:webHidden/>
          </w:rPr>
          <w:t>28</w:t>
        </w:r>
        <w:r>
          <w:rPr>
            <w:noProof/>
            <w:webHidden/>
          </w:rPr>
          <w:fldChar w:fldCharType="end"/>
        </w:r>
      </w:hyperlink>
    </w:p>
    <w:p w:rsidR="00052C6C">
      <w:pPr>
        <w:rPr>
          <w:rFonts w:ascii="宋体" w:hAnsi="宋体" w:cs="宋体"/>
          <w:sz w:val="24"/>
        </w:rPr>
      </w:pPr>
      <w:r>
        <w:rPr>
          <w:rFonts w:ascii="宋体" w:hAnsi="宋体" w:cs="宋体"/>
          <w:sz w:val="28"/>
        </w:rPr>
        <w:fldChar w:fldCharType="end"/>
      </w:r>
    </w:p>
    <w:p w:rsidR="00052C6C">
      <w:pPr>
        <w:widowControl/>
        <w:snapToGrid w:val="0"/>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rPr>
      </w:pPr>
    </w:p>
    <w:p w:rsidR="00052C6C">
      <w:pPr>
        <w:widowControl/>
        <w:ind w:firstLine="480"/>
        <w:rPr>
          <w:rFonts w:ascii="宋体" w:hAnsi="宋体" w:cs="宋体"/>
          <w:sz w:val="24"/>
          <w:lang w:eastAsia="zh-CN"/>
        </w:rPr>
      </w:pPr>
      <w:r>
        <w:rPr>
          <w:rFonts w:ascii="宋体" w:hAnsi="宋体" w:cs="宋体"/>
          <w:sz w:val="24"/>
          <w:highlight w:val="white"/>
          <w:lang w:eastAsia="zh-CN"/>
        </w:rPr>
        <w:t>鉴于易方达基金管理有限公司系一家依照中国法律合法成立并有效存续的有限责任公司，按照相关法律法规的规定具备担任基金管理人的资格和能力，拟募集发行</w:t>
      </w:r>
      <w:r>
        <w:rPr>
          <w:rFonts w:ascii="宋体" w:hAnsi="宋体" w:cs="宋体"/>
          <w:sz w:val="24"/>
          <w:lang w:eastAsia="zh-CN"/>
        </w:rPr>
        <w:t>易方达国证机器人产业交易型开放式指数证券投资基金发起式联接基金</w:t>
      </w:r>
      <w:r>
        <w:rPr>
          <w:rFonts w:ascii="宋体" w:hAnsi="宋体" w:cs="宋体"/>
          <w:sz w:val="24"/>
          <w:highlight w:val="white"/>
          <w:lang w:eastAsia="zh-CN"/>
        </w:rPr>
        <w:t>；</w:t>
      </w:r>
    </w:p>
    <w:p w:rsidR="00052C6C">
      <w:pPr>
        <w:widowControl/>
        <w:snapToGrid w:val="0"/>
        <w:ind w:firstLine="480"/>
        <w:rPr>
          <w:rFonts w:ascii="宋体" w:hAnsi="宋体" w:cs="宋体"/>
          <w:sz w:val="24"/>
          <w:lang w:eastAsia="zh-CN"/>
        </w:rPr>
      </w:pPr>
      <w:r>
        <w:rPr>
          <w:rFonts w:ascii="宋体" w:hAnsi="宋体" w:cs="宋体" w:hint="eastAsia"/>
          <w:sz w:val="24"/>
          <w:highlight w:val="white"/>
          <w:lang w:eastAsia="zh-CN"/>
        </w:rPr>
        <w:t>鉴于中国建设银行股份有限公司系一家依照中国法律合法成立并有效存续的银行，按照相关法律法规的规定具备担任基金托管人的资格和能力；</w:t>
      </w:r>
    </w:p>
    <w:p w:rsidR="00052C6C">
      <w:pPr>
        <w:widowControl/>
        <w:snapToGrid w:val="0"/>
        <w:ind w:firstLine="480"/>
        <w:rPr>
          <w:rFonts w:ascii="宋体" w:hAnsi="宋体" w:cs="宋体"/>
          <w:sz w:val="24"/>
          <w:lang w:eastAsia="zh-CN"/>
        </w:rPr>
      </w:pPr>
      <w:r>
        <w:rPr>
          <w:rFonts w:ascii="宋体" w:hAnsi="宋体" w:cs="宋体" w:hint="eastAsia"/>
          <w:sz w:val="24"/>
          <w:highlight w:val="white"/>
          <w:lang w:eastAsia="zh-CN"/>
        </w:rPr>
        <w:t>鉴于易方达基金管理有限公司拟担任</w:t>
      </w:r>
      <w:r>
        <w:rPr>
          <w:rFonts w:ascii="宋体" w:hAnsi="宋体" w:cs="宋体" w:hint="eastAsia"/>
          <w:sz w:val="24"/>
          <w:lang w:eastAsia="zh-CN"/>
        </w:rPr>
        <w:t>易方达国证机器人产业交易型开放式指数证券投资基金发起式联接基金</w:t>
      </w:r>
      <w:r>
        <w:rPr>
          <w:rFonts w:ascii="宋体" w:hAnsi="宋体" w:cs="宋体" w:hint="eastAsia"/>
          <w:sz w:val="24"/>
          <w:highlight w:val="white"/>
          <w:lang w:eastAsia="zh-CN"/>
        </w:rPr>
        <w:t>的基金管理人，中国建设银行股份有限公司拟担任</w:t>
      </w:r>
      <w:r>
        <w:rPr>
          <w:rFonts w:ascii="宋体" w:hAnsi="宋体" w:cs="宋体" w:hint="eastAsia"/>
          <w:sz w:val="24"/>
          <w:lang w:eastAsia="zh-CN"/>
        </w:rPr>
        <w:t>易方达国证机器人</w:t>
      </w:r>
      <w:r>
        <w:rPr>
          <w:rFonts w:ascii="宋体" w:hAnsi="宋体" w:cs="宋体" w:hint="eastAsia"/>
          <w:sz w:val="24"/>
          <w:lang w:eastAsia="zh-CN"/>
        </w:rPr>
        <w:t>产业交易型开放式指数证券投资基金发起式联接基金</w:t>
      </w:r>
      <w:r>
        <w:rPr>
          <w:rFonts w:ascii="宋体" w:hAnsi="宋体" w:cs="宋体" w:hint="eastAsia"/>
          <w:sz w:val="24"/>
          <w:highlight w:val="white"/>
          <w:lang w:eastAsia="zh-CN"/>
        </w:rPr>
        <w:t>的基金托管人；</w:t>
      </w:r>
    </w:p>
    <w:p w:rsidR="00052C6C">
      <w:pPr>
        <w:widowControl/>
        <w:snapToGrid w:val="0"/>
        <w:ind w:firstLine="480"/>
        <w:rPr>
          <w:rFonts w:ascii="宋体" w:hAnsi="宋体" w:cs="宋体"/>
          <w:sz w:val="24"/>
          <w:lang w:eastAsia="zh-CN"/>
        </w:rPr>
      </w:pPr>
      <w:r>
        <w:rPr>
          <w:rFonts w:ascii="宋体" w:hAnsi="宋体" w:cs="宋体" w:hint="eastAsia"/>
          <w:sz w:val="24"/>
          <w:highlight w:val="white"/>
          <w:lang w:eastAsia="zh-CN"/>
        </w:rPr>
        <w:t>为明确</w:t>
      </w:r>
      <w:r>
        <w:rPr>
          <w:rFonts w:ascii="宋体" w:hAnsi="宋体" w:cs="宋体" w:hint="eastAsia"/>
          <w:sz w:val="24"/>
          <w:lang w:eastAsia="zh-CN"/>
        </w:rPr>
        <w:t>易方达国证机器人产业交易型开放式指数证券投资基金发起式联接基金</w:t>
      </w:r>
      <w:r>
        <w:rPr>
          <w:rFonts w:ascii="宋体" w:hAnsi="宋体" w:cs="宋体" w:hint="eastAsia"/>
          <w:sz w:val="24"/>
          <w:highlight w:val="white"/>
          <w:lang w:eastAsia="zh-CN"/>
        </w:rPr>
        <w:t>的基金管理人和基金托管人之间的权利义务关系，特制订本托管协议；</w:t>
      </w:r>
    </w:p>
    <w:p w:rsidR="00052C6C">
      <w:pPr>
        <w:widowControl/>
        <w:snapToGrid w:val="0"/>
        <w:ind w:firstLine="480"/>
        <w:rPr>
          <w:rFonts w:ascii="宋体" w:hAnsi="宋体" w:cs="宋体"/>
          <w:sz w:val="24"/>
          <w:lang w:eastAsia="zh-CN"/>
        </w:rPr>
      </w:pPr>
      <w:r>
        <w:rPr>
          <w:rFonts w:ascii="宋体" w:hAnsi="宋体" w:cs="宋体" w:hint="eastAsia"/>
          <w:sz w:val="24"/>
          <w:highlight w:val="white"/>
          <w:lang w:val="en-GB" w:eastAsia="zh-CN"/>
        </w:rPr>
        <w:t>除非另有约定，《</w:t>
      </w:r>
      <w:r>
        <w:rPr>
          <w:rFonts w:ascii="宋体" w:hAnsi="宋体" w:cs="宋体" w:hint="eastAsia"/>
          <w:sz w:val="24"/>
          <w:lang w:eastAsia="zh-CN"/>
        </w:rPr>
        <w:t>易方达国证机器人产业交易型开放式指数证券投资基金发起式联接基金</w:t>
      </w:r>
      <w:r>
        <w:rPr>
          <w:rFonts w:ascii="宋体" w:hAnsi="宋体" w:cs="宋体" w:hint="eastAsia"/>
          <w:sz w:val="24"/>
          <w:highlight w:val="white"/>
          <w:lang w:val="en-GB" w:eastAsia="zh-CN"/>
        </w:rPr>
        <w:t>基金合同》</w:t>
      </w:r>
      <w:r>
        <w:rPr>
          <w:rFonts w:ascii="宋体" w:hAnsi="宋体" w:cs="宋体" w:hint="eastAsia"/>
          <w:sz w:val="24"/>
          <w:highlight w:val="white"/>
          <w:lang w:val="en-GB" w:eastAsia="zh-CN"/>
        </w:rPr>
        <w:t>(</w:t>
      </w:r>
      <w:r>
        <w:rPr>
          <w:rFonts w:ascii="宋体" w:hAnsi="宋体" w:cs="宋体" w:hint="eastAsia"/>
          <w:sz w:val="24"/>
          <w:highlight w:val="white"/>
          <w:lang w:val="en-GB" w:eastAsia="zh-CN"/>
        </w:rPr>
        <w:t>以下简称“基金合同”</w:t>
      </w:r>
      <w:r>
        <w:rPr>
          <w:rFonts w:ascii="宋体" w:hAnsi="宋体" w:cs="宋体" w:hint="eastAsia"/>
          <w:sz w:val="24"/>
          <w:highlight w:val="white"/>
          <w:lang w:val="en-GB" w:eastAsia="zh-CN"/>
        </w:rPr>
        <w:t>)</w:t>
      </w:r>
      <w:r>
        <w:rPr>
          <w:rFonts w:ascii="宋体" w:hAnsi="宋体" w:cs="宋体" w:hint="eastAsia"/>
          <w:sz w:val="24"/>
          <w:highlight w:val="white"/>
          <w:lang w:val="en-GB" w:eastAsia="zh-CN"/>
        </w:rPr>
        <w:t>中定义的术语在用于本托管协议时应具有相同的含义；若有抵触应以《基金合同》为准，并依其</w:t>
      </w:r>
      <w:r>
        <w:rPr>
          <w:rFonts w:ascii="宋体" w:hAnsi="宋体" w:cs="宋体" w:hint="eastAsia"/>
          <w:sz w:val="24"/>
          <w:highlight w:val="white"/>
          <w:lang w:eastAsia="zh-CN"/>
        </w:rPr>
        <w:t>条款</w:t>
      </w:r>
      <w:r>
        <w:rPr>
          <w:rFonts w:ascii="宋体" w:hAnsi="宋体" w:cs="宋体" w:hint="eastAsia"/>
          <w:sz w:val="24"/>
          <w:highlight w:val="white"/>
          <w:lang w:val="en-GB" w:eastAsia="zh-CN"/>
        </w:rPr>
        <w:t>解释。</w:t>
      </w:r>
    </w:p>
    <w:p w:rsidR="00052C6C">
      <w:pPr>
        <w:rPr>
          <w:rFonts w:ascii="宋体" w:hAnsi="宋体" w:cs="宋体"/>
          <w:sz w:val="24"/>
          <w:lang w:eastAsia="zh-CN"/>
        </w:rPr>
      </w:pPr>
    </w:p>
    <w:p w:rsidR="00052C6C">
      <w:pPr>
        <w:pStyle w:val="21"/>
        <w:jc w:val="center"/>
        <w:rPr>
          <w:rFonts w:ascii="宋体" w:eastAsia="宋体" w:hAnsi="宋体" w:cs="宋体"/>
          <w:lang w:eastAsia="zh-CN"/>
        </w:rPr>
      </w:pPr>
      <w:bookmarkStart w:id="0" w:name="_Toc164350586"/>
      <w:r>
        <w:rPr>
          <w:rFonts w:ascii="宋体" w:eastAsia="宋体" w:hAnsi="宋体" w:cs="宋体" w:hint="eastAsia"/>
          <w:highlight w:val="white"/>
          <w:lang w:eastAsia="zh-CN"/>
        </w:rPr>
        <w:t>一、基金托管协议当事人</w:t>
      </w:r>
      <w:bookmarkEnd w:id="0"/>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（一）基金管理人</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名称：易方达基金管理有限公司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住所：广东省珠海市横琴新区荣粤道</w:t>
      </w:r>
      <w:r>
        <w:rPr>
          <w:rFonts w:ascii="宋体" w:hAnsi="宋体" w:cs="宋体" w:hint="eastAsia"/>
          <w:sz w:val="24"/>
          <w:highlight w:val="white"/>
          <w:lang w:eastAsia="zh-CN"/>
        </w:rPr>
        <w:t>18</w:t>
      </w:r>
      <w:r>
        <w:rPr>
          <w:rFonts w:ascii="宋体" w:hAnsi="宋体" w:cs="宋体" w:hint="eastAsia"/>
          <w:sz w:val="24"/>
          <w:highlight w:val="white"/>
          <w:lang w:eastAsia="zh-CN"/>
        </w:rPr>
        <w:t>8</w:t>
      </w:r>
      <w:r>
        <w:rPr>
          <w:rFonts w:ascii="宋体" w:hAnsi="宋体" w:cs="宋体" w:hint="eastAsia"/>
          <w:sz w:val="24"/>
          <w:highlight w:val="white"/>
          <w:lang w:eastAsia="zh-CN"/>
        </w:rPr>
        <w:t>号</w:t>
      </w:r>
      <w:r>
        <w:rPr>
          <w:rFonts w:ascii="宋体" w:hAnsi="宋体" w:cs="宋体" w:hint="eastAsia"/>
          <w:sz w:val="24"/>
          <w:highlight w:val="white"/>
          <w:lang w:eastAsia="zh-CN"/>
        </w:rPr>
        <w:t>6</w:t>
      </w:r>
      <w:r>
        <w:rPr>
          <w:rFonts w:ascii="宋体" w:hAnsi="宋体" w:cs="宋体" w:hint="eastAsia"/>
          <w:sz w:val="24"/>
          <w:highlight w:val="white"/>
          <w:lang w:eastAsia="zh-CN"/>
        </w:rPr>
        <w:t>层</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法定代表人：刘晓艳</w:t>
      </w:r>
      <w:r>
        <w:rPr>
          <w:rFonts w:ascii="宋体" w:hAnsi="宋体" w:cs="宋体" w:hint="eastAsia"/>
          <w:sz w:val="24"/>
          <w:highlight w:val="white"/>
          <w:lang w:eastAsia="zh-CN"/>
        </w:rPr>
        <w:t xml:space="preserve"> </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设立日期：</w:t>
      </w:r>
      <w:r>
        <w:rPr>
          <w:rFonts w:ascii="宋体" w:hAnsi="宋体" w:cs="宋体" w:hint="eastAsia"/>
          <w:sz w:val="24"/>
          <w:highlight w:val="white"/>
          <w:lang w:eastAsia="zh-CN"/>
        </w:rPr>
        <w:t>2001</w:t>
      </w:r>
      <w:r>
        <w:rPr>
          <w:rFonts w:ascii="宋体" w:hAnsi="宋体" w:cs="宋体" w:hint="eastAsia"/>
          <w:sz w:val="24"/>
          <w:highlight w:val="white"/>
          <w:lang w:eastAsia="zh-CN"/>
        </w:rPr>
        <w:t>年</w:t>
      </w:r>
      <w:r>
        <w:rPr>
          <w:rFonts w:ascii="宋体" w:hAnsi="宋体" w:cs="宋体" w:hint="eastAsia"/>
          <w:sz w:val="24"/>
          <w:highlight w:val="white"/>
          <w:lang w:eastAsia="zh-CN"/>
        </w:rPr>
        <w:t>4</w:t>
      </w:r>
      <w:r>
        <w:rPr>
          <w:rFonts w:ascii="宋体" w:hAnsi="宋体" w:cs="宋体" w:hint="eastAsia"/>
          <w:sz w:val="24"/>
          <w:highlight w:val="white"/>
          <w:lang w:eastAsia="zh-CN"/>
        </w:rPr>
        <w:t>月</w:t>
      </w:r>
      <w:r>
        <w:rPr>
          <w:rFonts w:ascii="宋体" w:hAnsi="宋体" w:cs="宋体" w:hint="eastAsia"/>
          <w:sz w:val="24"/>
          <w:highlight w:val="white"/>
          <w:lang w:eastAsia="zh-CN"/>
        </w:rPr>
        <w:t>17</w:t>
      </w:r>
      <w:r>
        <w:rPr>
          <w:rFonts w:ascii="宋体" w:hAnsi="宋体" w:cs="宋体" w:hint="eastAsia"/>
          <w:sz w:val="24"/>
          <w:highlight w:val="white"/>
          <w:lang w:eastAsia="zh-CN"/>
        </w:rPr>
        <w:t>日</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批准设立机关及批准设立文号：中国证券监督管理委员会，证监基金字</w:t>
      </w:r>
      <w:r>
        <w:rPr>
          <w:rFonts w:ascii="宋体" w:hAnsi="宋体" w:cs="宋体" w:hint="eastAsia"/>
          <w:sz w:val="24"/>
          <w:highlight w:val="white"/>
          <w:lang w:eastAsia="zh-CN"/>
        </w:rPr>
        <w:t>[2001]4</w:t>
      </w:r>
      <w:r>
        <w:rPr>
          <w:rFonts w:ascii="宋体" w:hAnsi="宋体" w:cs="宋体" w:hint="eastAsia"/>
          <w:sz w:val="24"/>
          <w:highlight w:val="white"/>
          <w:lang w:eastAsia="zh-CN"/>
        </w:rPr>
        <w:t>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组织形式：有限责任公司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注册资本：</w:t>
      </w:r>
      <w:r>
        <w:rPr>
          <w:rFonts w:ascii="宋体" w:hAnsi="宋体" w:cs="宋体" w:hint="eastAsia"/>
          <w:sz w:val="24"/>
          <w:highlight w:val="white"/>
          <w:lang w:eastAsia="zh-CN"/>
        </w:rPr>
        <w:t>13,244.2</w:t>
      </w:r>
      <w:r>
        <w:rPr>
          <w:rFonts w:ascii="宋体" w:hAnsi="宋体" w:cs="宋体" w:hint="eastAsia"/>
          <w:sz w:val="24"/>
          <w:highlight w:val="white"/>
          <w:lang w:eastAsia="zh-CN"/>
        </w:rPr>
        <w:t>万元人民币</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存续期限：持续经营</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联系电话：</w:t>
      </w:r>
      <w:r>
        <w:rPr>
          <w:rFonts w:ascii="宋体" w:hAnsi="宋体" w:cs="宋体" w:hint="eastAsia"/>
          <w:sz w:val="24"/>
          <w:highlight w:val="white"/>
          <w:lang w:eastAsia="zh-CN"/>
        </w:rPr>
        <w:t>4008818088</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（二）基金托管人</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名称：中国建设银行股份有限公司</w:t>
      </w:r>
      <w:r>
        <w:rPr>
          <w:rFonts w:ascii="宋体" w:hAnsi="宋体" w:cs="宋体" w:hint="eastAsia"/>
          <w:sz w:val="24"/>
          <w:highlight w:val="white"/>
          <w:lang w:eastAsia="zh-CN"/>
        </w:rPr>
        <w:t>(</w:t>
      </w:r>
      <w:r>
        <w:rPr>
          <w:rFonts w:ascii="宋体" w:hAnsi="宋体" w:cs="宋体" w:hint="eastAsia"/>
          <w:sz w:val="24"/>
          <w:highlight w:val="white"/>
          <w:lang w:eastAsia="zh-CN"/>
        </w:rPr>
        <w:t>简称：中国建设银行</w:t>
      </w:r>
      <w:r>
        <w:rPr>
          <w:rFonts w:ascii="宋体" w:hAnsi="宋体" w:cs="宋体" w:hint="eastAsia"/>
          <w:sz w:val="24"/>
          <w:highlight w:val="white"/>
          <w:lang w:eastAsia="zh-CN"/>
        </w:rPr>
        <w:t>)</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住所：北京市西城区金融大街</w:t>
      </w:r>
      <w:r>
        <w:rPr>
          <w:rFonts w:ascii="宋体" w:hAnsi="宋体" w:cs="宋体" w:hint="eastAsia"/>
          <w:sz w:val="24"/>
          <w:highlight w:val="white"/>
          <w:lang w:eastAsia="zh-CN"/>
        </w:rPr>
        <w:t>25</w:t>
      </w:r>
      <w:r>
        <w:rPr>
          <w:rFonts w:ascii="宋体" w:hAnsi="宋体" w:cs="宋体" w:hint="eastAsia"/>
          <w:sz w:val="24"/>
          <w:highlight w:val="white"/>
          <w:lang w:eastAsia="zh-CN"/>
        </w:rPr>
        <w:t>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法定代表人：田国立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成立日期：</w:t>
      </w:r>
      <w:r>
        <w:rPr>
          <w:rFonts w:ascii="宋体" w:hAnsi="宋体" w:cs="宋体" w:hint="eastAsia"/>
          <w:sz w:val="24"/>
          <w:highlight w:val="white"/>
          <w:lang w:eastAsia="zh-CN"/>
        </w:rPr>
        <w:t>2004</w:t>
      </w:r>
      <w:r>
        <w:rPr>
          <w:rFonts w:ascii="宋体" w:hAnsi="宋体" w:cs="宋体" w:hint="eastAsia"/>
          <w:sz w:val="24"/>
          <w:highlight w:val="white"/>
          <w:lang w:eastAsia="zh-CN"/>
        </w:rPr>
        <w:t>年</w:t>
      </w:r>
      <w:r>
        <w:rPr>
          <w:rFonts w:ascii="宋体" w:hAnsi="宋体" w:cs="宋体" w:hint="eastAsia"/>
          <w:sz w:val="24"/>
          <w:highlight w:val="white"/>
          <w:lang w:eastAsia="zh-CN"/>
        </w:rPr>
        <w:t>09</w:t>
      </w:r>
      <w:r>
        <w:rPr>
          <w:rFonts w:ascii="宋体" w:hAnsi="宋体" w:cs="宋体" w:hint="eastAsia"/>
          <w:sz w:val="24"/>
          <w:highlight w:val="white"/>
          <w:lang w:eastAsia="zh-CN"/>
        </w:rPr>
        <w:t>月</w:t>
      </w:r>
      <w:r>
        <w:rPr>
          <w:rFonts w:ascii="宋体" w:hAnsi="宋体" w:cs="宋体" w:hint="eastAsia"/>
          <w:sz w:val="24"/>
          <w:highlight w:val="white"/>
          <w:lang w:eastAsia="zh-CN"/>
        </w:rPr>
        <w:t>17</w:t>
      </w:r>
      <w:r>
        <w:rPr>
          <w:rFonts w:ascii="宋体" w:hAnsi="宋体" w:cs="宋体" w:hint="eastAsia"/>
          <w:sz w:val="24"/>
          <w:highlight w:val="white"/>
          <w:lang w:eastAsia="zh-CN"/>
        </w:rPr>
        <w:t>日</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基金托管业务批准文号：中国证监会证监基字</w:t>
      </w:r>
      <w:r>
        <w:rPr>
          <w:rFonts w:ascii="宋体" w:hAnsi="宋体" w:cs="宋体" w:hint="eastAsia"/>
          <w:sz w:val="24"/>
          <w:highlight w:val="white"/>
          <w:lang w:eastAsia="zh-CN"/>
        </w:rPr>
        <w:t>[1998</w:t>
      </w:r>
      <w:bookmarkStart w:id="1" w:name="OLE_LINK3"/>
      <w:r>
        <w:rPr>
          <w:rFonts w:ascii="宋体" w:hAnsi="宋体" w:cs="宋体" w:hint="eastAsia"/>
          <w:sz w:val="24"/>
          <w:highlight w:val="white"/>
          <w:lang w:eastAsia="zh-CN"/>
        </w:rPr>
        <w:t>]</w:t>
      </w:r>
      <w:bookmarkEnd w:id="1"/>
      <w:r>
        <w:rPr>
          <w:rFonts w:ascii="宋体" w:hAnsi="宋体" w:cs="宋体" w:hint="eastAsia"/>
          <w:sz w:val="24"/>
          <w:highlight w:val="white"/>
          <w:lang w:eastAsia="zh-CN"/>
        </w:rPr>
        <w:t>12</w:t>
      </w:r>
      <w:r>
        <w:rPr>
          <w:rFonts w:ascii="宋体" w:hAnsi="宋体" w:cs="宋体" w:hint="eastAsia"/>
          <w:sz w:val="24"/>
          <w:highlight w:val="white"/>
          <w:lang w:eastAsia="zh-CN"/>
        </w:rPr>
        <w:t>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组织形式：股份有限公司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注册资</w:t>
      </w:r>
      <w:r>
        <w:rPr>
          <w:rFonts w:ascii="宋体" w:hAnsi="宋体" w:cs="宋体"/>
          <w:sz w:val="24"/>
          <w:highlight w:val="white"/>
          <w:lang w:eastAsia="zh-CN"/>
        </w:rPr>
        <w:t>本：</w:t>
      </w:r>
      <w:r>
        <w:rPr>
          <w:rFonts w:ascii="宋体" w:hAnsi="宋体" w:cs="宋体"/>
          <w:sz w:val="24"/>
          <w:highlight w:val="white"/>
          <w:lang w:eastAsia="zh-CN"/>
        </w:rPr>
        <w:t>贰仟伍佰亿壹仟零玖拾柒万柒仟肆佰捌拾陆元整</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存续期间：持续经营</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52C6C">
      <w:pPr>
        <w:snapToGrid w:val="0"/>
        <w:ind w:firstLine="480"/>
        <w:rPr>
          <w:rFonts w:ascii="宋体" w:hAnsi="宋体" w:cs="宋体"/>
          <w:sz w:val="24"/>
          <w:lang w:eastAsia="zh-CN"/>
        </w:rPr>
      </w:pPr>
    </w:p>
    <w:p w:rsidR="00052C6C">
      <w:pPr>
        <w:pStyle w:val="21"/>
        <w:jc w:val="center"/>
        <w:rPr>
          <w:rFonts w:ascii="宋体" w:eastAsia="宋体" w:hAnsi="宋体" w:cs="宋体"/>
          <w:sz w:val="30"/>
          <w:lang w:eastAsia="zh-CN"/>
        </w:rPr>
      </w:pPr>
      <w:bookmarkStart w:id="2" w:name="_Toc164350587"/>
      <w:r>
        <w:rPr>
          <w:rFonts w:ascii="宋体" w:eastAsia="宋体" w:hAnsi="宋体" w:cs="宋体" w:hint="eastAsia"/>
          <w:sz w:val="30"/>
          <w:highlight w:val="white"/>
          <w:lang w:eastAsia="zh-CN"/>
        </w:rPr>
        <w:t>二、基金托管协议的依据、目的和原则</w:t>
      </w:r>
      <w:bookmarkEnd w:id="2"/>
    </w:p>
    <w:p w:rsidR="00052C6C">
      <w:pPr>
        <w:snapToGrid w:val="0"/>
        <w:ind w:firstLine="480"/>
        <w:rPr>
          <w:rFonts w:ascii="宋体" w:hAnsi="宋体" w:cs="宋体"/>
          <w:sz w:val="24"/>
          <w:szCs w:val="30"/>
          <w:lang w:eastAsia="zh-CN"/>
        </w:rPr>
      </w:pPr>
      <w:r>
        <w:rPr>
          <w:rFonts w:ascii="宋体" w:hAnsi="宋体" w:cs="宋体" w:hint="eastAsia"/>
          <w:sz w:val="24"/>
          <w:highlight w:val="white"/>
          <w:lang w:eastAsia="zh-CN"/>
        </w:rPr>
        <w:t>（一）订立托管协议的依据</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本协议依据《中华人民共和国证券投资基金法》</w:t>
      </w:r>
      <w:r>
        <w:rPr>
          <w:rFonts w:ascii="宋体" w:hAnsi="宋体" w:cs="宋体" w:hint="eastAsia"/>
          <w:sz w:val="24"/>
          <w:highlight w:val="white"/>
          <w:lang w:eastAsia="zh-CN"/>
        </w:rPr>
        <w:t>(</w:t>
      </w:r>
      <w:r>
        <w:rPr>
          <w:rFonts w:ascii="宋体" w:hAnsi="宋体" w:cs="宋体" w:hint="eastAsia"/>
          <w:sz w:val="24"/>
          <w:highlight w:val="white"/>
          <w:lang w:eastAsia="zh-CN"/>
        </w:rPr>
        <w:t>以下简称“《基</w:t>
      </w:r>
      <w:r>
        <w:rPr>
          <w:rFonts w:ascii="宋体" w:hAnsi="宋体" w:cs="宋体" w:hint="eastAsia"/>
          <w:sz w:val="24"/>
          <w:highlight w:val="white"/>
          <w:lang w:eastAsia="zh-CN"/>
        </w:rPr>
        <w:t>金法》”</w:t>
      </w:r>
      <w:r>
        <w:rPr>
          <w:rFonts w:ascii="宋体" w:hAnsi="宋体" w:cs="宋体" w:hint="eastAsia"/>
          <w:sz w:val="24"/>
          <w:highlight w:val="white"/>
          <w:lang w:eastAsia="zh-CN"/>
        </w:rPr>
        <w:t>)</w:t>
      </w:r>
      <w:r>
        <w:rPr>
          <w:rFonts w:ascii="宋体" w:hAnsi="宋体" w:cs="宋体" w:hint="eastAsia"/>
          <w:sz w:val="24"/>
          <w:highlight w:val="white"/>
          <w:lang w:eastAsia="zh-CN"/>
        </w:rPr>
        <w:t>等有关法律法规、《基金合同》及其他有关规定制订。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（二）订立托管协议的目的</w:t>
      </w:r>
    </w:p>
    <w:p w:rsidR="00052C6C">
      <w:pPr>
        <w:snapToGrid w:val="0"/>
        <w:ind w:firstLine="480"/>
        <w:rPr>
          <w:rFonts w:ascii="宋体" w:hAnsi="宋体" w:cs="宋体"/>
          <w:sz w:val="24"/>
          <w:szCs w:val="30"/>
          <w:lang w:eastAsia="zh-CN"/>
        </w:rPr>
      </w:pPr>
      <w:r>
        <w:rPr>
          <w:rFonts w:ascii="宋体" w:hAnsi="宋体" w:cs="宋体" w:hint="eastAsia"/>
          <w:sz w:val="24"/>
          <w:highlight w:val="white"/>
          <w:lang w:eastAsia="zh-CN"/>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（三）订立托管协议的原则</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基金管理人和基金托管人本着平等自愿、诚实信用、充分保护基金份额持有人合法权益的原则，经协商一致，签订本协议。</w:t>
      </w:r>
    </w:p>
    <w:p w:rsidR="00052C6C">
      <w:pPr>
        <w:rPr>
          <w:rFonts w:ascii="宋体" w:hAnsi="宋体" w:cs="宋体"/>
          <w:sz w:val="24"/>
          <w:lang w:eastAsia="zh-CN"/>
        </w:rPr>
      </w:pPr>
    </w:p>
    <w:p w:rsidR="00052C6C">
      <w:pPr>
        <w:pStyle w:val="21"/>
        <w:jc w:val="center"/>
        <w:rPr>
          <w:rFonts w:ascii="宋体" w:eastAsia="宋体" w:hAnsi="宋体" w:cs="宋体"/>
          <w:sz w:val="30"/>
          <w:szCs w:val="24"/>
          <w:lang w:eastAsia="zh-CN"/>
        </w:rPr>
      </w:pPr>
      <w:bookmarkStart w:id="3" w:name="_Toc164350588"/>
      <w:r>
        <w:rPr>
          <w:rFonts w:ascii="宋体" w:eastAsia="宋体" w:hAnsi="宋体" w:cs="宋体" w:hint="eastAsia"/>
          <w:sz w:val="30"/>
          <w:highlight w:val="white"/>
          <w:lang w:eastAsia="zh-CN"/>
        </w:rPr>
        <w:t>三、基金托管人对基金管理人的业务监督和核查</w:t>
      </w:r>
      <w:bookmarkEnd w:id="3"/>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（一）基金托管人根据有关</w:t>
      </w:r>
      <w:r>
        <w:rPr>
          <w:rFonts w:ascii="宋体" w:hAnsi="宋体" w:cs="宋体"/>
          <w:sz w:val="24"/>
          <w:highlight w:val="white"/>
          <w:lang w:eastAsia="zh-CN"/>
        </w:rPr>
        <w:t>法律法规的规定及《基金合</w:t>
      </w:r>
      <w:r>
        <w:rPr>
          <w:rFonts w:ascii="宋体" w:hAnsi="宋体" w:cs="宋体"/>
          <w:sz w:val="24"/>
          <w:highlight w:val="white"/>
          <w:lang w:eastAsia="zh-CN"/>
        </w:rPr>
        <w:t>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w:t>
      </w:r>
      <w:r>
        <w:rPr>
          <w:rFonts w:ascii="宋体" w:hAnsi="宋体" w:cs="宋体" w:hint="eastAsia"/>
          <w:sz w:val="24"/>
          <w:highlight w:val="white"/>
          <w:lang w:eastAsia="zh-CN"/>
        </w:rPr>
        <w:t>对各标的投资品种的具体范围予以更新和调整并及时通知基金托管人。基金托管人根据上述投资范围对基金实际投资是否符合《基金合同》关于证券选择标准的约定进行监督。</w:t>
      </w:r>
    </w:p>
    <w:p w:rsidR="00052C6C">
      <w:pPr>
        <w:snapToGrid w:val="0"/>
        <w:ind w:firstLine="480"/>
        <w:rPr>
          <w:rFonts w:ascii="宋体" w:hAnsi="宋体" w:cs="宋体"/>
          <w:sz w:val="24"/>
          <w:lang w:eastAsia="zh-CN"/>
        </w:rPr>
      </w:pPr>
      <w:r>
        <w:rPr>
          <w:rFonts w:ascii="宋体" w:hAnsi="宋体" w:cs="宋体" w:hint="eastAsia"/>
          <w:sz w:val="24"/>
          <w:lang w:eastAsia="zh-CN"/>
        </w:rPr>
        <w:t>本基金的投资范围包括目标</w:t>
      </w:r>
      <w:r>
        <w:rPr>
          <w:rFonts w:ascii="宋体" w:hAnsi="宋体" w:cs="宋体" w:hint="eastAsia"/>
          <w:sz w:val="24"/>
          <w:lang w:eastAsia="zh-CN"/>
        </w:rPr>
        <w:t>ETF</w:t>
      </w:r>
      <w:r>
        <w:rPr>
          <w:rFonts w:ascii="宋体" w:hAnsi="宋体" w:cs="宋体" w:hint="eastAsia"/>
          <w:sz w:val="24"/>
          <w:lang w:eastAsia="zh-CN"/>
        </w:rPr>
        <w:t>、标的指数成份股及备选成份股（含存托凭证）、除标的指数成份股及备选成份股以外的其他股票（包括创业板</w:t>
      </w:r>
      <w:r>
        <w:rPr>
          <w:rFonts w:ascii="宋体" w:hAnsi="宋体" w:cs="宋体" w:hint="eastAsia"/>
          <w:sz w:val="24"/>
          <w:lang w:eastAsia="zh-CN"/>
        </w:rPr>
        <w:t>、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052C6C">
      <w:pPr>
        <w:snapToGrid w:val="0"/>
        <w:ind w:firstLine="480"/>
        <w:rPr>
          <w:rFonts w:ascii="宋体" w:hAnsi="宋体" w:cs="宋体"/>
          <w:sz w:val="24"/>
          <w:lang w:eastAsia="zh-CN"/>
        </w:rPr>
      </w:pPr>
      <w:r>
        <w:rPr>
          <w:rFonts w:ascii="宋体" w:hAnsi="宋体" w:cs="宋体"/>
          <w:sz w:val="24"/>
          <w:lang w:eastAsia="zh-CN"/>
        </w:rPr>
        <w:t>如法律法规或监管机构以后允许基金投资其他品种，基金管理人在履行适当程序后，本基金可以将其纳入投资范围。</w:t>
      </w:r>
    </w:p>
    <w:p w:rsidR="00052C6C">
      <w:pPr>
        <w:snapToGrid w:val="0"/>
        <w:ind w:firstLine="480"/>
        <w:rPr>
          <w:rFonts w:ascii="宋体" w:hAnsi="宋体" w:cs="宋体"/>
          <w:sz w:val="24"/>
          <w:lang w:eastAsia="zh-CN"/>
        </w:rPr>
      </w:pPr>
      <w:r>
        <w:rPr>
          <w:rFonts w:ascii="宋体" w:hAnsi="宋体" w:cs="宋体"/>
          <w:sz w:val="24"/>
          <w:lang w:eastAsia="zh-CN"/>
        </w:rPr>
        <w:t>本基金将根据法律法规的规定参与转融通证券出借及融</w:t>
      </w:r>
      <w:r>
        <w:rPr>
          <w:rFonts w:ascii="宋体" w:hAnsi="宋体" w:cs="宋体"/>
          <w:sz w:val="24"/>
          <w:lang w:eastAsia="zh-CN"/>
        </w:rPr>
        <w:t>资业务。</w:t>
      </w:r>
    </w:p>
    <w:p w:rsidR="00052C6C">
      <w:pPr>
        <w:snapToGrid w:val="0"/>
        <w:ind w:firstLine="480"/>
        <w:rPr>
          <w:rFonts w:ascii="宋体" w:hAnsi="宋体" w:cs="宋体"/>
          <w:sz w:val="24"/>
          <w:lang w:eastAsia="zh-CN"/>
        </w:rPr>
      </w:pPr>
      <w:r>
        <w:rPr>
          <w:rFonts w:ascii="宋体" w:hAnsi="宋体" w:cs="宋体"/>
          <w:sz w:val="24"/>
          <w:highlight w:val="white"/>
          <w:lang w:eastAsia="zh-CN"/>
        </w:rPr>
        <w:t>基金的投资组合比例为：</w:t>
      </w:r>
      <w:r>
        <w:rPr>
          <w:rFonts w:ascii="宋体" w:hAnsi="宋体" w:cs="宋体"/>
          <w:sz w:val="24"/>
          <w:lang w:eastAsia="zh-CN"/>
        </w:rPr>
        <w:t>本基金投资于目标</w:t>
      </w:r>
      <w:r>
        <w:rPr>
          <w:rFonts w:ascii="宋体" w:hAnsi="宋体" w:cs="宋体"/>
          <w:sz w:val="24"/>
          <w:lang w:eastAsia="zh-CN"/>
        </w:rPr>
        <w:t>ETF</w:t>
      </w:r>
      <w:r>
        <w:rPr>
          <w:rFonts w:ascii="宋体" w:hAnsi="宋体" w:cs="宋体"/>
          <w:sz w:val="24"/>
          <w:lang w:eastAsia="zh-CN"/>
        </w:rPr>
        <w:t>的资产不低于基金资产净值的</w:t>
      </w:r>
      <w:r>
        <w:rPr>
          <w:rFonts w:ascii="宋体" w:hAnsi="宋体" w:cs="宋体"/>
          <w:sz w:val="24"/>
          <w:lang w:eastAsia="zh-CN"/>
        </w:rPr>
        <w:t>90%</w:t>
      </w:r>
      <w:r>
        <w:rPr>
          <w:rFonts w:ascii="宋体" w:hAnsi="宋体" w:cs="宋体"/>
          <w:sz w:val="24"/>
          <w:lang w:eastAsia="zh-CN"/>
        </w:rPr>
        <w:t>，保持不低于基金资产净值</w:t>
      </w:r>
      <w:r>
        <w:rPr>
          <w:rFonts w:ascii="宋体" w:hAnsi="宋体" w:cs="宋体"/>
          <w:sz w:val="24"/>
          <w:lang w:eastAsia="zh-CN"/>
        </w:rPr>
        <w:t>5%</w:t>
      </w:r>
      <w:r>
        <w:rPr>
          <w:rFonts w:ascii="宋体" w:hAnsi="宋体" w:cs="宋体"/>
          <w:sz w:val="24"/>
          <w:lang w:eastAsia="zh-CN"/>
        </w:rPr>
        <w:t>的现金或者到期日在一年以内的政府债券，其中现金不包括结算备付金、存出保证金、应收申购款等。</w:t>
      </w:r>
    </w:p>
    <w:p w:rsidR="00052C6C">
      <w:pPr>
        <w:snapToGrid w:val="0"/>
        <w:ind w:firstLine="480"/>
        <w:rPr>
          <w:rFonts w:ascii="宋体" w:hAnsi="宋体" w:cs="宋体"/>
          <w:sz w:val="24"/>
          <w:lang w:eastAsia="zh-CN"/>
        </w:rPr>
      </w:pPr>
      <w:r>
        <w:rPr>
          <w:rFonts w:ascii="宋体" w:hAnsi="宋体" w:cs="宋体"/>
          <w:sz w:val="24"/>
          <w:highlight w:val="white"/>
          <w:lang w:eastAsia="zh-CN"/>
        </w:rPr>
        <w:t>（二）基金托管人根据有关法律法规的规定及《基金合同》的约定，对基金投资、融资比例进行监督。基金托管人按下述比例和调整期限进行监督：</w:t>
      </w:r>
    </w:p>
    <w:p w:rsidR="00052C6C">
      <w:pPr>
        <w:ind w:firstLine="480"/>
        <w:rPr>
          <w:lang w:eastAsia="zh-CN"/>
        </w:rPr>
      </w:pPr>
      <w:r>
        <w:rPr>
          <w:rFonts w:ascii="宋体" w:hAnsi="宋体" w:cs="宋体"/>
          <w:sz w:val="24"/>
          <w:highlight w:val="white"/>
          <w:lang w:eastAsia="zh-CN"/>
        </w:rPr>
        <w:t>1.</w:t>
      </w:r>
      <w:r>
        <w:rPr>
          <w:rFonts w:ascii="宋体" w:hAnsi="宋体" w:cs="宋体"/>
          <w:sz w:val="24"/>
          <w:highlight w:val="white"/>
          <w:lang w:eastAsia="zh-CN"/>
        </w:rPr>
        <w:t>本基金投资于目标</w:t>
      </w:r>
      <w:r>
        <w:rPr>
          <w:rFonts w:ascii="宋体" w:hAnsi="宋体" w:cs="宋体"/>
          <w:sz w:val="24"/>
          <w:highlight w:val="white"/>
          <w:lang w:eastAsia="zh-CN"/>
        </w:rPr>
        <w:t>ETF</w:t>
      </w:r>
      <w:r>
        <w:rPr>
          <w:rFonts w:ascii="宋体" w:hAnsi="宋体" w:cs="宋体"/>
          <w:sz w:val="24"/>
          <w:highlight w:val="white"/>
          <w:lang w:eastAsia="zh-CN"/>
        </w:rPr>
        <w:t>的资产不低于基金资产净值的</w:t>
      </w:r>
      <w:r>
        <w:rPr>
          <w:rFonts w:ascii="宋体" w:hAnsi="宋体" w:cs="宋体"/>
          <w:sz w:val="24"/>
          <w:highlight w:val="white"/>
          <w:lang w:eastAsia="zh-CN"/>
        </w:rPr>
        <w:t>90%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2.</w:t>
      </w:r>
      <w:r>
        <w:rPr>
          <w:rFonts w:ascii="宋体" w:hAnsi="宋体" w:cs="宋体"/>
          <w:sz w:val="24"/>
          <w:highlight w:val="white"/>
          <w:lang w:eastAsia="zh-CN"/>
        </w:rPr>
        <w:t>保持不低于基金资产净值</w:t>
      </w:r>
      <w:r>
        <w:rPr>
          <w:rFonts w:ascii="宋体" w:hAnsi="宋体" w:cs="宋体"/>
          <w:sz w:val="24"/>
          <w:highlight w:val="white"/>
          <w:lang w:eastAsia="zh-CN"/>
        </w:rPr>
        <w:t>5%</w:t>
      </w:r>
      <w:r>
        <w:rPr>
          <w:rFonts w:ascii="宋体" w:hAnsi="宋体" w:cs="宋体"/>
          <w:sz w:val="24"/>
          <w:highlight w:val="white"/>
          <w:lang w:eastAsia="zh-CN"/>
        </w:rPr>
        <w:t>的现金或者到期日在一年以内的政府债券，其中现金不包括结算备付金、存出保证金和应收申购款等；</w:t>
      </w:r>
    </w:p>
    <w:p w:rsidR="00052C6C">
      <w:pPr>
        <w:ind w:firstLine="480"/>
        <w:rPr>
          <w:lang w:eastAsia="zh-CN"/>
        </w:rPr>
      </w:pPr>
      <w:r>
        <w:rPr>
          <w:rFonts w:ascii="宋体" w:hAnsi="宋体" w:cs="宋体"/>
          <w:sz w:val="24"/>
          <w:highlight w:val="white"/>
          <w:lang w:eastAsia="zh-CN"/>
        </w:rPr>
        <w:t>3.</w:t>
      </w:r>
      <w:r>
        <w:rPr>
          <w:rFonts w:ascii="宋体" w:hAnsi="宋体" w:cs="宋体"/>
          <w:sz w:val="24"/>
          <w:highlight w:val="white"/>
          <w:lang w:eastAsia="zh-CN"/>
        </w:rPr>
        <w:t>本基金投资于同一原始权益人的各类资产支持证券的比例，不得超过基金资产净值的</w:t>
      </w:r>
      <w:r>
        <w:rPr>
          <w:rFonts w:ascii="宋体" w:hAnsi="宋体" w:cs="宋体"/>
          <w:sz w:val="24"/>
          <w:highlight w:val="white"/>
          <w:lang w:eastAsia="zh-CN"/>
        </w:rPr>
        <w:t>10%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4.</w:t>
      </w:r>
      <w:r>
        <w:rPr>
          <w:rFonts w:ascii="宋体" w:hAnsi="宋体" w:cs="宋体"/>
          <w:sz w:val="24"/>
          <w:highlight w:val="white"/>
          <w:lang w:eastAsia="zh-CN"/>
        </w:rPr>
        <w:t>本基金持有的全部资产支持证券，其市值不得超过基金资产净值的</w:t>
      </w:r>
      <w:r>
        <w:rPr>
          <w:rFonts w:ascii="宋体" w:hAnsi="宋体" w:cs="宋体"/>
          <w:sz w:val="24"/>
          <w:highlight w:val="white"/>
          <w:lang w:eastAsia="zh-CN"/>
        </w:rPr>
        <w:t>20%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5.</w:t>
      </w:r>
      <w:r>
        <w:rPr>
          <w:rFonts w:ascii="宋体" w:hAnsi="宋体" w:cs="宋体"/>
          <w:sz w:val="24"/>
          <w:highlight w:val="white"/>
          <w:lang w:eastAsia="zh-CN"/>
        </w:rPr>
        <w:t>本基金持有的同一</w:t>
      </w:r>
      <w:r>
        <w:rPr>
          <w:rFonts w:ascii="宋体" w:hAnsi="宋体" w:cs="宋体"/>
          <w:sz w:val="24"/>
          <w:highlight w:val="white"/>
          <w:lang w:eastAsia="zh-CN"/>
        </w:rPr>
        <w:t>(</w:t>
      </w:r>
      <w:r>
        <w:rPr>
          <w:rFonts w:ascii="宋体" w:hAnsi="宋体" w:cs="宋体"/>
          <w:sz w:val="24"/>
          <w:highlight w:val="white"/>
          <w:lang w:eastAsia="zh-CN"/>
        </w:rPr>
        <w:t>指同一信用级别</w:t>
      </w:r>
      <w:r>
        <w:rPr>
          <w:rFonts w:ascii="宋体" w:hAnsi="宋体" w:cs="宋体"/>
          <w:sz w:val="24"/>
          <w:highlight w:val="white"/>
          <w:lang w:eastAsia="zh-CN"/>
        </w:rPr>
        <w:t>)</w:t>
      </w:r>
      <w:r>
        <w:rPr>
          <w:rFonts w:ascii="宋体" w:hAnsi="宋体" w:cs="宋体"/>
          <w:sz w:val="24"/>
          <w:highlight w:val="white"/>
          <w:lang w:eastAsia="zh-CN"/>
        </w:rPr>
        <w:t>资产支持证券的比例，不得超过该资产支持证券规模的</w:t>
      </w:r>
      <w:r>
        <w:rPr>
          <w:rFonts w:ascii="宋体" w:hAnsi="宋体" w:cs="宋体"/>
          <w:sz w:val="24"/>
          <w:highlight w:val="white"/>
          <w:lang w:eastAsia="zh-CN"/>
        </w:rPr>
        <w:t>10%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6.</w:t>
      </w:r>
      <w:r>
        <w:rPr>
          <w:rFonts w:ascii="宋体" w:hAnsi="宋体" w:cs="宋体"/>
          <w:sz w:val="24"/>
          <w:highlight w:val="white"/>
          <w:lang w:eastAsia="zh-CN"/>
        </w:rPr>
        <w:t>本基金管理人管理的且由本基金托管人托管的全部基金投资于同一原始权益人的各类资产支持证券，不得超过其各类资产支持证券合计规模的</w:t>
      </w:r>
      <w:r>
        <w:rPr>
          <w:rFonts w:ascii="宋体" w:hAnsi="宋体" w:cs="宋体"/>
          <w:sz w:val="24"/>
          <w:highlight w:val="white"/>
          <w:lang w:eastAsia="zh-CN"/>
        </w:rPr>
        <w:t>10%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7.</w:t>
      </w:r>
      <w:r>
        <w:rPr>
          <w:rFonts w:ascii="宋体" w:hAnsi="宋体" w:cs="宋体"/>
          <w:sz w:val="24"/>
          <w:highlight w:val="white"/>
          <w:lang w:eastAsia="zh-CN"/>
        </w:rPr>
        <w:t>本基金应投资于信用级别评级为</w:t>
      </w:r>
      <w:r>
        <w:rPr>
          <w:rFonts w:ascii="宋体" w:hAnsi="宋体" w:cs="宋体"/>
          <w:sz w:val="24"/>
          <w:highlight w:val="white"/>
          <w:lang w:eastAsia="zh-CN"/>
        </w:rPr>
        <w:t>BBB</w:t>
      </w:r>
      <w:r>
        <w:rPr>
          <w:rFonts w:ascii="宋体" w:hAnsi="宋体" w:cs="宋体"/>
          <w:sz w:val="24"/>
          <w:highlight w:val="white"/>
          <w:lang w:eastAsia="zh-CN"/>
        </w:rPr>
        <w:t>以上</w:t>
      </w:r>
      <w:r>
        <w:rPr>
          <w:rFonts w:ascii="宋体" w:hAnsi="宋体" w:cs="宋体"/>
          <w:sz w:val="24"/>
          <w:highlight w:val="white"/>
          <w:lang w:eastAsia="zh-CN"/>
        </w:rPr>
        <w:t>(</w:t>
      </w:r>
      <w:r>
        <w:rPr>
          <w:rFonts w:ascii="宋体" w:hAnsi="宋体" w:cs="宋体"/>
          <w:sz w:val="24"/>
          <w:highlight w:val="white"/>
          <w:lang w:eastAsia="zh-CN"/>
        </w:rPr>
        <w:t>含</w:t>
      </w:r>
      <w:r>
        <w:rPr>
          <w:rFonts w:ascii="宋体" w:hAnsi="宋体" w:cs="宋体"/>
          <w:sz w:val="24"/>
          <w:highlight w:val="white"/>
          <w:lang w:eastAsia="zh-CN"/>
        </w:rPr>
        <w:t>BBB)</w:t>
      </w:r>
      <w:r>
        <w:rPr>
          <w:rFonts w:ascii="宋体" w:hAnsi="宋体" w:cs="宋体"/>
          <w:sz w:val="24"/>
          <w:highlight w:val="white"/>
          <w:lang w:eastAsia="zh-CN"/>
        </w:rPr>
        <w:t>的资产支持证券。基金持有资产支持证券期间，如果其信用等级下降、不再符合投资标准，应在评级报告发布之日起</w:t>
      </w:r>
      <w:r>
        <w:rPr>
          <w:rFonts w:ascii="宋体" w:hAnsi="宋体" w:cs="宋体"/>
          <w:sz w:val="24"/>
          <w:highlight w:val="white"/>
          <w:lang w:eastAsia="zh-CN"/>
        </w:rPr>
        <w:t>3</w:t>
      </w:r>
      <w:r>
        <w:rPr>
          <w:rFonts w:ascii="宋体" w:hAnsi="宋体" w:cs="宋体"/>
          <w:sz w:val="24"/>
          <w:highlight w:val="white"/>
          <w:lang w:eastAsia="zh-CN"/>
        </w:rPr>
        <w:t>个月内予以全部卖出；</w:t>
      </w:r>
    </w:p>
    <w:p w:rsidR="00052C6C">
      <w:pPr>
        <w:ind w:firstLine="480"/>
        <w:rPr>
          <w:lang w:eastAsia="zh-CN"/>
        </w:rPr>
      </w:pPr>
      <w:r>
        <w:rPr>
          <w:rFonts w:ascii="宋体" w:hAnsi="宋体" w:cs="宋体"/>
          <w:sz w:val="24"/>
          <w:highlight w:val="white"/>
          <w:lang w:eastAsia="zh-CN"/>
        </w:rPr>
        <w:t>8.</w:t>
      </w:r>
      <w:r>
        <w:rPr>
          <w:rFonts w:ascii="宋体" w:hAnsi="宋体" w:cs="宋体"/>
          <w:sz w:val="24"/>
          <w:highlight w:val="white"/>
          <w:lang w:eastAsia="zh-CN"/>
        </w:rPr>
        <w:t>基金财产参与股票发行申购，本基金所申报的金额不超过本基金的总资产，本基金所申报的股票数量不超过拟发行股票公司本次发行股票的总量；</w:t>
      </w:r>
    </w:p>
    <w:p w:rsidR="00052C6C">
      <w:pPr>
        <w:ind w:firstLine="480"/>
        <w:rPr>
          <w:lang w:eastAsia="zh-CN"/>
        </w:rPr>
      </w:pPr>
      <w:r>
        <w:rPr>
          <w:rFonts w:ascii="宋体" w:hAnsi="宋体" w:cs="宋体"/>
          <w:sz w:val="24"/>
          <w:highlight w:val="white"/>
          <w:lang w:eastAsia="zh-CN"/>
        </w:rPr>
        <w:t>9.</w:t>
      </w:r>
      <w:r>
        <w:rPr>
          <w:rFonts w:ascii="宋体" w:hAnsi="宋体" w:cs="宋体"/>
          <w:sz w:val="24"/>
          <w:highlight w:val="white"/>
          <w:lang w:eastAsia="zh-CN"/>
        </w:rPr>
        <w:t>本基金参与股指期货交易的，应当符合下列要求：在任何交易日日终，持有的买入股指期货合约价值，不得超过基金资产净值的</w:t>
      </w:r>
      <w:r>
        <w:rPr>
          <w:rFonts w:ascii="宋体" w:hAnsi="宋体" w:cs="宋体"/>
          <w:sz w:val="24"/>
          <w:highlight w:val="white"/>
          <w:lang w:eastAsia="zh-CN"/>
        </w:rPr>
        <w:t>10%</w:t>
      </w:r>
      <w:r>
        <w:rPr>
          <w:rFonts w:ascii="宋体" w:hAnsi="宋体" w:cs="宋体"/>
          <w:sz w:val="24"/>
          <w:highlight w:val="white"/>
          <w:lang w:eastAsia="zh-CN"/>
        </w:rPr>
        <w:t>；在任何交易日日终，持有的买入国债期货和股指期货合约价值与有价证券市值之</w:t>
      </w:r>
      <w:r>
        <w:rPr>
          <w:rFonts w:ascii="宋体" w:hAnsi="宋体" w:cs="宋体"/>
          <w:sz w:val="24"/>
          <w:highlight w:val="white"/>
          <w:lang w:eastAsia="zh-CN"/>
        </w:rPr>
        <w:t>和，不得超过基金资产净值的</w:t>
      </w:r>
      <w:r>
        <w:rPr>
          <w:rFonts w:ascii="宋体" w:hAnsi="宋体" w:cs="宋体"/>
          <w:sz w:val="24"/>
          <w:highlight w:val="white"/>
          <w:lang w:eastAsia="zh-CN"/>
        </w:rPr>
        <w:t>100%</w:t>
      </w:r>
      <w:r>
        <w:rPr>
          <w:rFonts w:ascii="宋体" w:hAnsi="宋体" w:cs="宋体"/>
          <w:sz w:val="24"/>
          <w:highlight w:val="white"/>
          <w:lang w:eastAsia="zh-CN"/>
        </w:rPr>
        <w:t>，其中，有价证券指目标</w:t>
      </w:r>
      <w:r>
        <w:rPr>
          <w:rFonts w:ascii="宋体" w:hAnsi="宋体" w:cs="宋体"/>
          <w:sz w:val="24"/>
          <w:highlight w:val="white"/>
          <w:lang w:eastAsia="zh-CN"/>
        </w:rPr>
        <w:t>ETF</w:t>
      </w:r>
      <w:r>
        <w:rPr>
          <w:rFonts w:ascii="宋体" w:hAnsi="宋体" w:cs="宋体"/>
          <w:sz w:val="24"/>
          <w:highlight w:val="white"/>
          <w:lang w:eastAsia="zh-CN"/>
        </w:rPr>
        <w:t>、股票、债券（不含到期日在一年以内的政府债券）、资产支持证券、买入返售金融资产（不含质押式回购）等；在任何交易日日终，持有的卖出股指期货合约价值不得超过基金持有的股票及目标</w:t>
      </w:r>
      <w:r>
        <w:rPr>
          <w:rFonts w:ascii="宋体" w:hAnsi="宋体" w:cs="宋体"/>
          <w:sz w:val="24"/>
          <w:highlight w:val="white"/>
          <w:lang w:eastAsia="zh-CN"/>
        </w:rPr>
        <w:t>ETF</w:t>
      </w:r>
      <w:r>
        <w:rPr>
          <w:rFonts w:ascii="宋体" w:hAnsi="宋体" w:cs="宋体"/>
          <w:sz w:val="24"/>
          <w:highlight w:val="white"/>
          <w:lang w:eastAsia="zh-CN"/>
        </w:rPr>
        <w:t>总市值的</w:t>
      </w:r>
      <w:r>
        <w:rPr>
          <w:rFonts w:ascii="宋体" w:hAnsi="宋体" w:cs="宋体"/>
          <w:sz w:val="24"/>
          <w:highlight w:val="white"/>
          <w:lang w:eastAsia="zh-CN"/>
        </w:rPr>
        <w:t>20%</w:t>
      </w:r>
      <w:r>
        <w:rPr>
          <w:rFonts w:ascii="宋体" w:hAnsi="宋体" w:cs="宋体"/>
          <w:sz w:val="24"/>
          <w:highlight w:val="white"/>
          <w:lang w:eastAsia="zh-CN"/>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ascii="宋体" w:hAnsi="宋体" w:cs="宋体"/>
          <w:sz w:val="24"/>
          <w:highlight w:val="white"/>
          <w:lang w:eastAsia="zh-CN"/>
        </w:rPr>
        <w:t>20%</w:t>
      </w:r>
      <w:r>
        <w:rPr>
          <w:rFonts w:ascii="宋体" w:hAnsi="宋体" w:cs="宋体"/>
          <w:sz w:val="24"/>
          <w:highlight w:val="white"/>
          <w:lang w:eastAsia="zh-CN"/>
        </w:rPr>
        <w:t>；每个交易日日终，扣除股指期货、国债期货合约需缴纳的交易保</w:t>
      </w:r>
      <w:r>
        <w:rPr>
          <w:rFonts w:ascii="宋体" w:hAnsi="宋体" w:cs="宋体"/>
          <w:sz w:val="24"/>
          <w:highlight w:val="white"/>
          <w:lang w:eastAsia="zh-CN"/>
        </w:rPr>
        <w:t>证金后，保持不低于基金资产净值</w:t>
      </w:r>
      <w:r>
        <w:rPr>
          <w:rFonts w:ascii="宋体" w:hAnsi="宋体" w:cs="宋体"/>
          <w:sz w:val="24"/>
          <w:highlight w:val="white"/>
          <w:lang w:eastAsia="zh-CN"/>
        </w:rPr>
        <w:t>5%</w:t>
      </w:r>
      <w:r>
        <w:rPr>
          <w:rFonts w:ascii="宋体" w:hAnsi="宋体" w:cs="宋体"/>
          <w:sz w:val="24"/>
          <w:highlight w:val="white"/>
          <w:lang w:eastAsia="zh-CN"/>
        </w:rPr>
        <w:t>的现金或者到期日在一年以内的政府债券，其中现金不包括结算备付金、存出保证金和应收申购款等；</w:t>
      </w:r>
    </w:p>
    <w:p w:rsidR="00052C6C">
      <w:pPr>
        <w:ind w:firstLine="480"/>
        <w:rPr>
          <w:lang w:eastAsia="zh-CN"/>
        </w:rPr>
      </w:pPr>
      <w:r>
        <w:rPr>
          <w:rFonts w:ascii="宋体" w:hAnsi="宋体" w:cs="宋体"/>
          <w:sz w:val="24"/>
          <w:highlight w:val="white"/>
          <w:lang w:eastAsia="zh-CN"/>
        </w:rPr>
        <w:t>10.</w:t>
      </w:r>
      <w:r>
        <w:rPr>
          <w:rFonts w:ascii="宋体" w:hAnsi="宋体" w:cs="宋体"/>
          <w:sz w:val="24"/>
          <w:highlight w:val="white"/>
          <w:lang w:eastAsia="zh-CN"/>
        </w:rPr>
        <w:t>本基金参与国债期货交易的，应当符合下列要求：在任何交易日日终，本基金持有的买入国债期货合约价值，不得超过基金资产净值的</w:t>
      </w:r>
      <w:r>
        <w:rPr>
          <w:rFonts w:ascii="宋体" w:hAnsi="宋体" w:cs="宋体"/>
          <w:sz w:val="24"/>
          <w:highlight w:val="white"/>
          <w:lang w:eastAsia="zh-CN"/>
        </w:rPr>
        <w:t>15%</w:t>
      </w:r>
      <w:r>
        <w:rPr>
          <w:rFonts w:ascii="宋体" w:hAnsi="宋体" w:cs="宋体"/>
          <w:sz w:val="24"/>
          <w:highlight w:val="white"/>
          <w:lang w:eastAsia="zh-CN"/>
        </w:rPr>
        <w:t>；本基金在任何交易日日终，持有的卖出国债期货合约价值不得超过基金持有的债券总市值的</w:t>
      </w:r>
      <w:r>
        <w:rPr>
          <w:rFonts w:ascii="宋体" w:hAnsi="宋体" w:cs="宋体"/>
          <w:sz w:val="24"/>
          <w:highlight w:val="white"/>
          <w:lang w:eastAsia="zh-CN"/>
        </w:rPr>
        <w:t>30%</w:t>
      </w:r>
      <w:r>
        <w:rPr>
          <w:rFonts w:ascii="宋体" w:hAnsi="宋体" w:cs="宋体"/>
          <w:sz w:val="24"/>
          <w:highlight w:val="white"/>
          <w:lang w:eastAsia="zh-CN"/>
        </w:rPr>
        <w:t>；本基金在任何交易日内交易（不包括平仓）的国债期货合约的成交金额不得超过上一交易日基金资产净值的</w:t>
      </w:r>
      <w:r>
        <w:rPr>
          <w:rFonts w:ascii="宋体" w:hAnsi="宋体" w:cs="宋体"/>
          <w:sz w:val="24"/>
          <w:highlight w:val="white"/>
          <w:lang w:eastAsia="zh-CN"/>
        </w:rPr>
        <w:t>30%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11.</w:t>
      </w:r>
      <w:r>
        <w:rPr>
          <w:rFonts w:ascii="宋体" w:hAnsi="宋体" w:cs="宋体"/>
          <w:sz w:val="24"/>
          <w:highlight w:val="white"/>
          <w:lang w:eastAsia="zh-CN"/>
        </w:rPr>
        <w:t>本基金参与股票期权交易的，应当符合下列要求：基金因未平仓</w:t>
      </w:r>
      <w:r>
        <w:rPr>
          <w:rFonts w:ascii="宋体" w:hAnsi="宋体" w:cs="宋体"/>
          <w:sz w:val="24"/>
          <w:highlight w:val="white"/>
          <w:lang w:eastAsia="zh-CN"/>
        </w:rPr>
        <w:t>的期权合约支付和收取的权利金总额不得超过基金资产净值的</w:t>
      </w:r>
      <w:r>
        <w:rPr>
          <w:rFonts w:ascii="宋体" w:hAnsi="宋体" w:cs="宋体"/>
          <w:sz w:val="24"/>
          <w:highlight w:val="white"/>
          <w:lang w:eastAsia="zh-CN"/>
        </w:rPr>
        <w:t>10%</w:t>
      </w:r>
      <w:r>
        <w:rPr>
          <w:rFonts w:ascii="宋体" w:hAnsi="宋体" w:cs="宋体"/>
          <w:sz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cs="宋体"/>
          <w:sz w:val="24"/>
          <w:highlight w:val="white"/>
          <w:lang w:eastAsia="zh-CN"/>
        </w:rPr>
        <w:t>20%</w:t>
      </w:r>
      <w:r>
        <w:rPr>
          <w:rFonts w:ascii="宋体" w:hAnsi="宋体" w:cs="宋体"/>
          <w:sz w:val="24"/>
          <w:highlight w:val="white"/>
          <w:lang w:eastAsia="zh-CN"/>
        </w:rPr>
        <w:t>。其中，合约面值按照行权价乘以合约乘数计算；</w:t>
      </w:r>
    </w:p>
    <w:p w:rsidR="00052C6C">
      <w:pPr>
        <w:ind w:firstLine="480"/>
        <w:rPr>
          <w:lang w:eastAsia="zh-CN"/>
        </w:rPr>
      </w:pPr>
      <w:r>
        <w:rPr>
          <w:rFonts w:ascii="宋体" w:hAnsi="宋体" w:cs="宋体"/>
          <w:sz w:val="24"/>
          <w:highlight w:val="white"/>
          <w:lang w:eastAsia="zh-CN"/>
        </w:rPr>
        <w:t>12.</w:t>
      </w:r>
      <w:r>
        <w:rPr>
          <w:rFonts w:ascii="宋体" w:hAnsi="宋体" w:cs="宋体"/>
          <w:sz w:val="24"/>
          <w:highlight w:val="white"/>
          <w:lang w:eastAsia="zh-CN"/>
        </w:rPr>
        <w:t>基金参与融资业务后，在任何交易日日终，持有的融资买入股票与其他有价证券市值之和，不得超过基金资产净值的</w:t>
      </w:r>
      <w:r>
        <w:rPr>
          <w:rFonts w:ascii="宋体" w:hAnsi="宋体" w:cs="宋体"/>
          <w:sz w:val="24"/>
          <w:highlight w:val="white"/>
          <w:lang w:eastAsia="zh-CN"/>
        </w:rPr>
        <w:t>95%</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13.</w:t>
      </w:r>
      <w:r>
        <w:rPr>
          <w:rFonts w:ascii="宋体" w:hAnsi="宋体" w:cs="宋体"/>
          <w:sz w:val="24"/>
          <w:highlight w:val="white"/>
          <w:lang w:eastAsia="zh-CN"/>
        </w:rPr>
        <w:t>本基金参与转融通证券出借业务的，应当符合下列要求：出借证券资产不得超过基金资产净值的</w:t>
      </w:r>
      <w:r>
        <w:rPr>
          <w:rFonts w:ascii="宋体" w:hAnsi="宋体" w:cs="宋体"/>
          <w:sz w:val="24"/>
          <w:highlight w:val="white"/>
          <w:lang w:eastAsia="zh-CN"/>
        </w:rPr>
        <w:t>30%</w:t>
      </w:r>
      <w:r>
        <w:rPr>
          <w:rFonts w:ascii="宋体" w:hAnsi="宋体" w:cs="宋体"/>
          <w:sz w:val="24"/>
          <w:highlight w:val="white"/>
          <w:lang w:eastAsia="zh-CN"/>
        </w:rPr>
        <w:t>，出借</w:t>
      </w:r>
      <w:r>
        <w:rPr>
          <w:rFonts w:ascii="宋体" w:hAnsi="宋体" w:cs="宋体"/>
          <w:sz w:val="24"/>
          <w:highlight w:val="white"/>
          <w:lang w:eastAsia="zh-CN"/>
        </w:rPr>
        <w:t>期限在</w:t>
      </w:r>
      <w:r>
        <w:rPr>
          <w:rFonts w:ascii="宋体" w:hAnsi="宋体" w:cs="宋体"/>
          <w:sz w:val="24"/>
          <w:highlight w:val="white"/>
          <w:lang w:eastAsia="zh-CN"/>
        </w:rPr>
        <w:t>10</w:t>
      </w:r>
      <w:r>
        <w:rPr>
          <w:rFonts w:ascii="宋体" w:hAnsi="宋体" w:cs="宋体"/>
          <w:sz w:val="24"/>
          <w:highlight w:val="white"/>
          <w:lang w:eastAsia="zh-CN"/>
        </w:rPr>
        <w:t>个交易日以上的出借证券应纳入《流动性风险管理规定》所述流动性受限证券的范围；参与出借业务的单只证券不得超过基金持有该证券总量的</w:t>
      </w:r>
      <w:r>
        <w:rPr>
          <w:rFonts w:ascii="宋体" w:hAnsi="宋体" w:cs="宋体"/>
          <w:sz w:val="24"/>
          <w:highlight w:val="white"/>
          <w:lang w:eastAsia="zh-CN"/>
        </w:rPr>
        <w:t>50%</w:t>
      </w:r>
      <w:r>
        <w:rPr>
          <w:rFonts w:ascii="宋体" w:hAnsi="宋体" w:cs="宋体"/>
          <w:sz w:val="24"/>
          <w:highlight w:val="white"/>
          <w:lang w:eastAsia="zh-CN"/>
        </w:rPr>
        <w:t>；最近</w:t>
      </w:r>
      <w:r>
        <w:rPr>
          <w:rFonts w:ascii="宋体" w:hAnsi="宋体" w:cs="宋体"/>
          <w:sz w:val="24"/>
          <w:highlight w:val="white"/>
          <w:lang w:eastAsia="zh-CN"/>
        </w:rPr>
        <w:t>6</w:t>
      </w:r>
      <w:r>
        <w:rPr>
          <w:rFonts w:ascii="宋体" w:hAnsi="宋体" w:cs="宋体"/>
          <w:sz w:val="24"/>
          <w:highlight w:val="white"/>
          <w:lang w:eastAsia="zh-CN"/>
        </w:rPr>
        <w:t>个月内日均基金资产净值不得低于</w:t>
      </w:r>
      <w:r>
        <w:rPr>
          <w:rFonts w:ascii="宋体" w:hAnsi="宋体" w:cs="宋体"/>
          <w:sz w:val="24"/>
          <w:highlight w:val="white"/>
          <w:lang w:eastAsia="zh-CN"/>
        </w:rPr>
        <w:t xml:space="preserve">2 </w:t>
      </w:r>
      <w:r>
        <w:rPr>
          <w:rFonts w:ascii="宋体" w:hAnsi="宋体" w:cs="宋体"/>
          <w:sz w:val="24"/>
          <w:highlight w:val="white"/>
          <w:lang w:eastAsia="zh-CN"/>
        </w:rPr>
        <w:t>亿元；证券出借的平均剩余期限不得超过</w:t>
      </w:r>
      <w:r>
        <w:rPr>
          <w:rFonts w:ascii="宋体" w:hAnsi="宋体" w:cs="宋体"/>
          <w:sz w:val="24"/>
          <w:highlight w:val="white"/>
          <w:lang w:eastAsia="zh-CN"/>
        </w:rPr>
        <w:t>30</w:t>
      </w:r>
      <w:r>
        <w:rPr>
          <w:rFonts w:ascii="宋体" w:hAnsi="宋体" w:cs="宋体"/>
          <w:sz w:val="24"/>
          <w:highlight w:val="white"/>
          <w:lang w:eastAsia="zh-CN"/>
        </w:rPr>
        <w:t>天，平均剩余期限按照市值加权平均计算；</w:t>
      </w:r>
    </w:p>
    <w:p w:rsidR="00052C6C">
      <w:pPr>
        <w:ind w:firstLine="480"/>
        <w:rPr>
          <w:lang w:eastAsia="zh-CN"/>
        </w:rPr>
      </w:pPr>
      <w:r>
        <w:rPr>
          <w:rFonts w:ascii="宋体" w:hAnsi="宋体" w:cs="宋体"/>
          <w:sz w:val="24"/>
          <w:highlight w:val="white"/>
          <w:lang w:eastAsia="zh-CN"/>
        </w:rPr>
        <w:t>14.</w:t>
      </w:r>
      <w:r>
        <w:rPr>
          <w:rFonts w:ascii="宋体" w:hAnsi="宋体" w:cs="宋体"/>
          <w:sz w:val="24"/>
          <w:highlight w:val="white"/>
          <w:lang w:eastAsia="zh-CN"/>
        </w:rPr>
        <w:t>本基金主动投资于流动性受限资产的市值合计不得超过基金资产净值的</w:t>
      </w:r>
      <w:r>
        <w:rPr>
          <w:rFonts w:ascii="宋体" w:hAnsi="宋体" w:cs="宋体"/>
          <w:sz w:val="24"/>
          <w:highlight w:val="white"/>
          <w:lang w:eastAsia="zh-CN"/>
        </w:rPr>
        <w:t>15%</w:t>
      </w:r>
      <w:r>
        <w:rPr>
          <w:rFonts w:ascii="宋体" w:hAnsi="宋体" w:cs="宋体"/>
          <w:sz w:val="24"/>
          <w:highlight w:val="white"/>
          <w:lang w:eastAsia="zh-CN"/>
        </w:rPr>
        <w:t>；因证券市场波动、上市公司股票停牌、基金规模变动等基金管理人之外的因素致使基金不符合该比例限制的，基金管理人不得主动新增流动性受限资产的投资；</w:t>
      </w:r>
    </w:p>
    <w:p w:rsidR="00052C6C">
      <w:pPr>
        <w:ind w:firstLine="480"/>
        <w:rPr>
          <w:lang w:eastAsia="zh-CN"/>
        </w:rPr>
      </w:pPr>
      <w:r>
        <w:rPr>
          <w:rFonts w:ascii="宋体" w:hAnsi="宋体" w:cs="宋体"/>
          <w:sz w:val="24"/>
          <w:highlight w:val="white"/>
          <w:lang w:eastAsia="zh-CN"/>
        </w:rPr>
        <w:t>15.</w:t>
      </w:r>
      <w:r>
        <w:rPr>
          <w:rFonts w:ascii="宋体" w:hAnsi="宋体" w:cs="宋体"/>
          <w:sz w:val="24"/>
          <w:highlight w:val="white"/>
          <w:lang w:eastAsia="zh-CN"/>
        </w:rPr>
        <w:t>本基金资产总值不超过基金</w:t>
      </w:r>
      <w:r>
        <w:rPr>
          <w:rFonts w:ascii="宋体" w:hAnsi="宋体" w:cs="宋体"/>
          <w:sz w:val="24"/>
          <w:highlight w:val="white"/>
          <w:lang w:eastAsia="zh-CN"/>
        </w:rPr>
        <w:t>资产净值的</w:t>
      </w:r>
      <w:r>
        <w:rPr>
          <w:rFonts w:ascii="宋体" w:hAnsi="宋体" w:cs="宋体"/>
          <w:sz w:val="24"/>
          <w:highlight w:val="white"/>
          <w:lang w:eastAsia="zh-CN"/>
        </w:rPr>
        <w:t>140%</w:t>
      </w:r>
      <w:r>
        <w:rPr>
          <w:rFonts w:ascii="宋体" w:hAnsi="宋体" w:cs="宋体"/>
          <w:sz w:val="24"/>
          <w:highlight w:val="white"/>
          <w:lang w:eastAsia="zh-CN"/>
        </w:rPr>
        <w:t>；</w:t>
      </w:r>
    </w:p>
    <w:p w:rsidR="00052C6C">
      <w:pPr>
        <w:ind w:firstLine="480"/>
        <w:rPr>
          <w:lang w:eastAsia="zh-CN"/>
        </w:rPr>
      </w:pPr>
      <w:r>
        <w:rPr>
          <w:rFonts w:ascii="宋体" w:hAnsi="宋体" w:cs="宋体"/>
          <w:sz w:val="24"/>
          <w:highlight w:val="white"/>
          <w:lang w:eastAsia="zh-CN"/>
        </w:rPr>
        <w:t>16.</w:t>
      </w:r>
      <w:r>
        <w:rPr>
          <w:rFonts w:ascii="宋体" w:hAnsi="宋体" w:cs="宋体"/>
          <w:sz w:val="24"/>
          <w:highlight w:val="white"/>
          <w:lang w:eastAsia="zh-CN"/>
        </w:rPr>
        <w:t>本基金投资存托凭证的比例限制依照境内上市交易的股票执行，与境内上市交易的股票合并计算；</w:t>
      </w:r>
    </w:p>
    <w:p w:rsidR="00052C6C">
      <w:pPr>
        <w:ind w:firstLine="480"/>
        <w:rPr>
          <w:lang w:eastAsia="zh-CN"/>
        </w:rPr>
      </w:pPr>
      <w:r>
        <w:rPr>
          <w:rFonts w:ascii="宋体" w:hAnsi="宋体" w:cs="宋体"/>
          <w:sz w:val="24"/>
          <w:highlight w:val="white"/>
          <w:lang w:eastAsia="zh-CN"/>
        </w:rPr>
        <w:t>17.</w:t>
      </w:r>
      <w:r>
        <w:rPr>
          <w:rFonts w:ascii="宋体" w:hAnsi="宋体" w:cs="宋体"/>
          <w:sz w:val="24"/>
          <w:highlight w:val="white"/>
          <w:lang w:eastAsia="zh-CN"/>
        </w:rPr>
        <w:t>法律法规及中国证监会规定的和《基金合同》约定的其他投资限制。</w:t>
      </w:r>
    </w:p>
    <w:p w:rsidR="00052C6C">
      <w:pPr>
        <w:ind w:firstLine="480"/>
        <w:rPr>
          <w:lang w:eastAsia="zh-CN"/>
        </w:rPr>
      </w:pPr>
      <w:r>
        <w:rPr>
          <w:rFonts w:ascii="宋体" w:hAnsi="宋体" w:cs="宋体"/>
          <w:sz w:val="24"/>
          <w:highlight w:val="white"/>
          <w:lang w:eastAsia="zh-CN"/>
        </w:rPr>
        <w:t>因证券</w:t>
      </w:r>
      <w:r>
        <w:rPr>
          <w:rFonts w:ascii="宋体" w:hAnsi="宋体" w:cs="宋体"/>
          <w:sz w:val="24"/>
          <w:highlight w:val="white"/>
          <w:lang w:eastAsia="zh-CN"/>
        </w:rPr>
        <w:t>/</w:t>
      </w:r>
      <w:r>
        <w:rPr>
          <w:rFonts w:ascii="宋体" w:hAnsi="宋体" w:cs="宋体"/>
          <w:sz w:val="24"/>
          <w:highlight w:val="white"/>
          <w:lang w:eastAsia="zh-CN"/>
        </w:rPr>
        <w:t>期货市场波动、证券发行人合并、基金规模变动、标的指数成份股调整、流动性限制、目标</w:t>
      </w:r>
      <w:r>
        <w:rPr>
          <w:rFonts w:ascii="宋体" w:hAnsi="宋体" w:cs="宋体"/>
          <w:sz w:val="24"/>
          <w:highlight w:val="white"/>
          <w:lang w:eastAsia="zh-CN"/>
        </w:rPr>
        <w:t>ETF</w:t>
      </w:r>
      <w:r>
        <w:rPr>
          <w:rFonts w:ascii="宋体" w:hAnsi="宋体" w:cs="宋体"/>
          <w:sz w:val="24"/>
          <w:highlight w:val="white"/>
          <w:lang w:eastAsia="zh-CN"/>
        </w:rPr>
        <w:t>暂停申购、赎回或二级市场交易停牌等基金管理人之外的因素致使基金投资比例不符合上述第</w:t>
      </w:r>
      <w:r>
        <w:rPr>
          <w:rFonts w:ascii="宋体" w:hAnsi="宋体" w:cs="宋体"/>
          <w:sz w:val="24"/>
          <w:highlight w:val="white"/>
          <w:lang w:eastAsia="zh-CN"/>
        </w:rPr>
        <w:t>1</w:t>
      </w:r>
      <w:r>
        <w:rPr>
          <w:rFonts w:ascii="宋体" w:hAnsi="宋体" w:cs="宋体"/>
          <w:sz w:val="24"/>
          <w:highlight w:val="white"/>
          <w:lang w:eastAsia="zh-CN"/>
        </w:rPr>
        <w:t>项规定投资比例的，基金管理人应当在</w:t>
      </w:r>
      <w:r>
        <w:rPr>
          <w:rFonts w:ascii="宋体" w:hAnsi="宋体" w:cs="宋体"/>
          <w:sz w:val="24"/>
          <w:highlight w:val="white"/>
          <w:lang w:eastAsia="zh-CN"/>
        </w:rPr>
        <w:t>20</w:t>
      </w:r>
      <w:r>
        <w:rPr>
          <w:rFonts w:ascii="宋体" w:hAnsi="宋体" w:cs="宋体"/>
          <w:sz w:val="24"/>
          <w:highlight w:val="white"/>
          <w:lang w:eastAsia="zh-CN"/>
        </w:rPr>
        <w:t>个交易日内进行调整；除上述</w:t>
      </w:r>
      <w:r>
        <w:rPr>
          <w:rFonts w:ascii="宋体" w:hAnsi="宋体" w:cs="宋体"/>
          <w:sz w:val="24"/>
          <w:highlight w:val="white"/>
          <w:lang w:eastAsia="zh-CN"/>
        </w:rPr>
        <w:t>1</w:t>
      </w: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w:t>
      </w:r>
      <w:r>
        <w:rPr>
          <w:rFonts w:ascii="宋体" w:hAnsi="宋体" w:cs="宋体"/>
          <w:sz w:val="24"/>
          <w:highlight w:val="white"/>
          <w:lang w:eastAsia="zh-CN"/>
        </w:rPr>
        <w:t>7</w:t>
      </w:r>
      <w:r>
        <w:rPr>
          <w:rFonts w:ascii="宋体" w:hAnsi="宋体" w:cs="宋体"/>
          <w:sz w:val="24"/>
          <w:highlight w:val="white"/>
          <w:lang w:eastAsia="zh-CN"/>
        </w:rPr>
        <w:t>、</w:t>
      </w:r>
      <w:r>
        <w:rPr>
          <w:rFonts w:ascii="宋体" w:hAnsi="宋体" w:cs="宋体"/>
          <w:sz w:val="24"/>
          <w:highlight w:val="white"/>
          <w:lang w:eastAsia="zh-CN"/>
        </w:rPr>
        <w:t>8</w:t>
      </w:r>
      <w:r>
        <w:rPr>
          <w:rFonts w:ascii="宋体" w:hAnsi="宋体" w:cs="宋体"/>
          <w:sz w:val="24"/>
          <w:highlight w:val="white"/>
          <w:lang w:eastAsia="zh-CN"/>
        </w:rPr>
        <w:t>、</w:t>
      </w:r>
      <w:r>
        <w:rPr>
          <w:rFonts w:ascii="宋体" w:hAnsi="宋体" w:cs="宋体"/>
          <w:sz w:val="24"/>
          <w:highlight w:val="white"/>
          <w:lang w:eastAsia="zh-CN"/>
        </w:rPr>
        <w:t>13</w:t>
      </w:r>
      <w:r>
        <w:rPr>
          <w:rFonts w:ascii="宋体" w:hAnsi="宋体" w:cs="宋体"/>
          <w:sz w:val="24"/>
          <w:highlight w:val="white"/>
          <w:lang w:eastAsia="zh-CN"/>
        </w:rPr>
        <w:t>、</w:t>
      </w:r>
      <w:r>
        <w:rPr>
          <w:rFonts w:ascii="宋体" w:hAnsi="宋体" w:cs="宋体"/>
          <w:sz w:val="24"/>
          <w:highlight w:val="white"/>
          <w:lang w:eastAsia="zh-CN"/>
        </w:rPr>
        <w:t>14</w:t>
      </w:r>
      <w:r>
        <w:rPr>
          <w:rFonts w:ascii="宋体" w:hAnsi="宋体" w:cs="宋体"/>
          <w:sz w:val="24"/>
          <w:highlight w:val="white"/>
          <w:lang w:eastAsia="zh-CN"/>
        </w:rPr>
        <w:t>情形之外，因证券</w:t>
      </w:r>
      <w:r>
        <w:rPr>
          <w:rFonts w:ascii="宋体" w:hAnsi="宋体" w:cs="宋体"/>
          <w:sz w:val="24"/>
          <w:highlight w:val="white"/>
          <w:lang w:eastAsia="zh-CN"/>
        </w:rPr>
        <w:t>/</w:t>
      </w:r>
      <w:r>
        <w:rPr>
          <w:rFonts w:ascii="宋体" w:hAnsi="宋体" w:cs="宋体"/>
          <w:sz w:val="24"/>
          <w:highlight w:val="white"/>
          <w:lang w:eastAsia="zh-CN"/>
        </w:rPr>
        <w:t>期货市场波动、证券发行人合并、基金规模变动</w:t>
      </w:r>
      <w:r>
        <w:rPr>
          <w:rFonts w:ascii="宋体" w:hAnsi="宋体" w:cs="宋体"/>
          <w:sz w:val="24"/>
          <w:highlight w:val="white"/>
          <w:lang w:eastAsia="zh-CN"/>
        </w:rPr>
        <w:t>、标的指数成份股调整、流动性限制、目标</w:t>
      </w:r>
      <w:r>
        <w:rPr>
          <w:rFonts w:ascii="宋体" w:hAnsi="宋体" w:cs="宋体"/>
          <w:sz w:val="24"/>
          <w:highlight w:val="white"/>
          <w:lang w:eastAsia="zh-CN"/>
        </w:rPr>
        <w:t>ETF</w:t>
      </w:r>
      <w:r>
        <w:rPr>
          <w:rFonts w:ascii="宋体" w:hAnsi="宋体" w:cs="宋体"/>
          <w:sz w:val="24"/>
          <w:highlight w:val="white"/>
          <w:lang w:eastAsia="zh-CN"/>
        </w:rPr>
        <w:t>暂停申购、赎回或二级市场交易停牌等基金管理人之外的因素致使基金投资比例不符合上述规定投资比例的，基金管理人应当在</w:t>
      </w:r>
      <w:r>
        <w:rPr>
          <w:rFonts w:ascii="宋体" w:hAnsi="宋体" w:cs="宋体"/>
          <w:sz w:val="24"/>
          <w:highlight w:val="white"/>
          <w:lang w:eastAsia="zh-CN"/>
        </w:rPr>
        <w:t>10</w:t>
      </w:r>
      <w:r>
        <w:rPr>
          <w:rFonts w:ascii="宋体" w:hAnsi="宋体" w:cs="宋体"/>
          <w:sz w:val="24"/>
          <w:highlight w:val="white"/>
          <w:lang w:eastAsia="zh-CN"/>
        </w:rPr>
        <w:t>个交易日内进行调整，但中国证监会规定的特殊情形除外。因证券</w:t>
      </w:r>
      <w:r>
        <w:rPr>
          <w:rFonts w:ascii="宋体" w:hAnsi="宋体" w:cs="宋体"/>
          <w:sz w:val="24"/>
          <w:highlight w:val="white"/>
          <w:lang w:eastAsia="zh-CN"/>
        </w:rPr>
        <w:t>/</w:t>
      </w:r>
      <w:r>
        <w:rPr>
          <w:rFonts w:ascii="宋体" w:hAnsi="宋体" w:cs="宋体"/>
          <w:sz w:val="24"/>
          <w:highlight w:val="white"/>
          <w:lang w:eastAsia="zh-CN"/>
        </w:rPr>
        <w:t>期货市场波动、证券发行人合并、基金规模变动等基金管理人之外的因素致使基金投资不符合第</w:t>
      </w:r>
      <w:r>
        <w:rPr>
          <w:rFonts w:ascii="宋体" w:hAnsi="宋体" w:cs="宋体"/>
          <w:sz w:val="24"/>
          <w:highlight w:val="white"/>
          <w:lang w:eastAsia="zh-CN"/>
        </w:rPr>
        <w:t>13</w:t>
      </w:r>
      <w:r>
        <w:rPr>
          <w:rFonts w:ascii="宋体" w:hAnsi="宋体" w:cs="宋体"/>
          <w:sz w:val="24"/>
          <w:highlight w:val="white"/>
          <w:lang w:eastAsia="zh-CN"/>
        </w:rPr>
        <w:t>项规定的，基金管理人不得新增出借业务。法律法规或监管部门另有规定的，届时按最新规定执行。</w:t>
      </w:r>
    </w:p>
    <w:p w:rsidR="00052C6C">
      <w:pPr>
        <w:ind w:firstLine="480"/>
        <w:rPr>
          <w:lang w:eastAsia="zh-CN"/>
        </w:rPr>
      </w:pPr>
      <w:r>
        <w:rPr>
          <w:rFonts w:ascii="宋体" w:hAnsi="宋体" w:cs="宋体"/>
          <w:sz w:val="24"/>
          <w:highlight w:val="white"/>
          <w:lang w:eastAsia="zh-CN"/>
        </w:rPr>
        <w:t>基金管理人应当自基金合同生效之日起</w:t>
      </w:r>
      <w:r>
        <w:rPr>
          <w:rFonts w:ascii="宋体" w:hAnsi="宋体" w:cs="宋体"/>
          <w:sz w:val="24"/>
          <w:highlight w:val="white"/>
          <w:lang w:eastAsia="zh-CN"/>
        </w:rPr>
        <w:t>6</w:t>
      </w:r>
      <w:r>
        <w:rPr>
          <w:rFonts w:ascii="宋体" w:hAnsi="宋体" w:cs="宋体"/>
          <w:sz w:val="24"/>
          <w:highlight w:val="white"/>
          <w:lang w:eastAsia="zh-CN"/>
        </w:rPr>
        <w:t>个月内使基金的投资组合比例符合基金合同的有关约定。在上述期间内，本基金的投资范</w:t>
      </w:r>
      <w:r>
        <w:rPr>
          <w:rFonts w:ascii="宋体" w:hAnsi="宋体" w:cs="宋体"/>
          <w:sz w:val="24"/>
          <w:highlight w:val="white"/>
          <w:lang w:eastAsia="zh-CN"/>
        </w:rPr>
        <w:t>围、投资策略应当符合基金合同的约定。基金托管人对基金的投资的监督与检查自基金合同生效之日起开始。</w:t>
      </w:r>
      <w:r>
        <w:rPr>
          <w:rFonts w:ascii="宋体" w:hAnsi="宋体" w:cs="宋体"/>
          <w:sz w:val="24"/>
          <w:highlight w:val="white"/>
          <w:lang w:eastAsia="zh-CN"/>
        </w:rPr>
        <w:t xml:space="preserve"> </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如果法律法规对上述投资组合比例限制进行变更的，以变更后的规定为准。法律法规或监管部门取消上述限制，则本基金投资不再受相关限制。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（三）基金托管人</w:t>
      </w:r>
      <w:bookmarkStart w:id="4" w:name="OLE_LINK1"/>
      <w:r>
        <w:rPr>
          <w:rFonts w:ascii="宋体" w:hAnsi="宋体" w:cs="宋体" w:hint="eastAsia"/>
          <w:sz w:val="24"/>
          <w:highlight w:val="white"/>
          <w:lang w:eastAsia="zh-CN"/>
        </w:rPr>
        <w:t>根据有关法律法规的规定及《基金合同》的约定，</w:t>
      </w:r>
      <w:bookmarkEnd w:id="4"/>
      <w:r>
        <w:rPr>
          <w:rFonts w:ascii="宋体" w:hAnsi="宋体" w:cs="宋体" w:hint="eastAsia"/>
          <w:sz w:val="24"/>
          <w:highlight w:val="white"/>
          <w:lang w:eastAsia="zh-CN"/>
        </w:rPr>
        <w:t>对本托管协议第十五条第九款基金投资禁止行为通过事后监督方式进行监督。</w:t>
      </w:r>
    </w:p>
    <w:p w:rsidR="00052C6C">
      <w:pPr>
        <w:snapToGrid w:val="0"/>
        <w:ind w:firstLine="480"/>
        <w:rPr>
          <w:rFonts w:ascii="宋体" w:hAnsi="宋体" w:cs="宋体"/>
          <w:sz w:val="24"/>
          <w:lang w:eastAsia="zh-CN"/>
        </w:rPr>
      </w:pPr>
      <w:r>
        <w:rPr>
          <w:rFonts w:ascii="宋体" w:hAnsi="宋体" w:cs="宋体"/>
          <w:sz w:val="24"/>
          <w:highlight w:val="white"/>
          <w:lang w:eastAsia="zh-CN"/>
        </w:rPr>
        <w:t>基金管理人运用基金财产买卖基金管理人、基金托管人及其控股股东、实际控制人或者与其有重大利害关系的公司发行的证券或者承销期内承销的证券，或者从事其他重大关联</w:t>
      </w:r>
      <w:r>
        <w:rPr>
          <w:rFonts w:ascii="宋体" w:hAnsi="宋体" w:cs="宋体"/>
          <w:sz w:val="24"/>
          <w:highlight w:val="white"/>
          <w:lang w:eastAsia="zh-CN"/>
        </w:rPr>
        <w:t>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52C6C">
      <w:pPr>
        <w:snapToGrid w:val="0"/>
        <w:ind w:firstLine="480"/>
        <w:rPr>
          <w:rFonts w:ascii="宋体" w:hAnsi="宋体" w:cs="宋体"/>
          <w:sz w:val="24"/>
          <w:lang w:eastAsia="zh-CN"/>
        </w:rPr>
      </w:pPr>
      <w:r>
        <w:rPr>
          <w:rFonts w:ascii="宋体" w:hAnsi="宋体" w:cs="宋体"/>
          <w:sz w:val="24"/>
          <w:highlight w:val="white"/>
          <w:lang w:eastAsia="zh-CN"/>
        </w:rPr>
        <w:t>（四）</w:t>
      </w:r>
      <w:r>
        <w:rPr>
          <w:rFonts w:ascii="宋体" w:hAnsi="宋体" w:cs="宋体" w:hint="eastAsia"/>
          <w:sz w:val="24"/>
          <w:highlight w:val="white"/>
          <w:lang w:eastAsia="zh-CN"/>
        </w:rPr>
        <w:t>基金托管人根据有关法律法规的规定及《基金合同》的约定，对基金管理人投资流通受限证券进行监督。</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基金管理人投资流通受限证券，应事先根据中国证监会相关规定，明确基金投资流通受限</w:t>
      </w:r>
      <w:r>
        <w:rPr>
          <w:rFonts w:ascii="宋体" w:hAnsi="宋体" w:cs="宋体" w:hint="eastAsia"/>
          <w:sz w:val="24"/>
          <w:highlight w:val="white"/>
          <w:lang w:eastAsia="zh-CN"/>
        </w:rPr>
        <w:t>证券的比例，制订严格的投资决策流程和风险控制制度，防范流动性风险、法律风险和操作风险等各种风险。基金托管人对基金管理人相关投资额度和比例等的情况进行监督。</w:t>
      </w:r>
    </w:p>
    <w:p w:rsidR="00052C6C">
      <w:pPr>
        <w:snapToGrid w:val="0"/>
        <w:ind w:firstLine="480"/>
        <w:rPr>
          <w:rFonts w:ascii="宋体" w:hAnsi="宋体" w:cs="宋体"/>
          <w:sz w:val="24"/>
          <w:lang w:eastAsia="zh-CN"/>
        </w:rPr>
      </w:pPr>
      <w:r>
        <w:rPr>
          <w:rFonts w:ascii="宋体" w:hAnsi="宋体" w:cs="宋体"/>
          <w:sz w:val="24"/>
          <w:highlight w:val="white"/>
          <w:lang w:eastAsia="zh-CN"/>
        </w:rPr>
        <w:t>1.</w:t>
      </w:r>
      <w:r>
        <w:rPr>
          <w:rFonts w:ascii="宋体" w:hAnsi="宋体" w:cs="宋体" w:hint="eastAsia"/>
          <w:sz w:val="24"/>
          <w:highlight w:val="white"/>
          <w:lang w:eastAsia="zh-CN"/>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本基金投资的流通受限证券限于可由中国证券登记结算有限责任公司或中央国债登记结算</w:t>
      </w:r>
      <w:r>
        <w:rPr>
          <w:rFonts w:ascii="宋体" w:hAnsi="宋体" w:cs="宋体" w:hint="eastAsia"/>
          <w:sz w:val="24"/>
          <w:highlight w:val="white"/>
          <w:lang w:eastAsia="zh-CN"/>
        </w:rPr>
        <w:t>有限责任公司负责登记和存管，并可在证券交易所或全国银行间债券市场交易的证券。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本基金投资流通受限证券，不得预付任何形式的保证金，若法规有新规定的按照新的规定执行。</w:t>
      </w:r>
    </w:p>
    <w:p w:rsidR="00052C6C">
      <w:pPr>
        <w:snapToGrid w:val="0"/>
        <w:ind w:firstLine="480"/>
        <w:rPr>
          <w:rFonts w:ascii="宋体" w:hAnsi="宋体" w:cs="宋体"/>
          <w:sz w:val="24"/>
          <w:lang w:eastAsia="zh-CN"/>
        </w:rPr>
      </w:pPr>
      <w:r>
        <w:rPr>
          <w:rFonts w:ascii="宋体" w:hAnsi="宋体" w:cs="宋体"/>
          <w:sz w:val="24"/>
          <w:highlight w:val="white"/>
          <w:lang w:eastAsia="zh-CN"/>
        </w:rPr>
        <w:t>2.</w:t>
      </w:r>
      <w:r>
        <w:rPr>
          <w:rFonts w:ascii="宋体" w:hAnsi="宋体" w:cs="宋体" w:hint="eastAsia"/>
          <w:sz w:val="24"/>
          <w:highlight w:val="white"/>
          <w:lang w:eastAsia="zh-CN"/>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本基金因投资流通受限证券导致的流动性</w:t>
      </w:r>
      <w:r>
        <w:rPr>
          <w:rFonts w:ascii="宋体" w:hAnsi="宋体" w:cs="宋体" w:hint="eastAsia"/>
          <w:sz w:val="24"/>
          <w:highlight w:val="white"/>
          <w:lang w:eastAsia="zh-CN"/>
        </w:rPr>
        <w:t>风险</w:t>
      </w:r>
      <w:r>
        <w:rPr>
          <w:rFonts w:ascii="宋体" w:hAnsi="宋体" w:cs="宋体"/>
          <w:sz w:val="24"/>
          <w:highlight w:val="white"/>
          <w:lang w:eastAsia="zh-CN"/>
        </w:rPr>
        <w:t>，基金托管人不承担任何责任。如因基金管理人原因导致本基金出现损失致使基金托管人承担连带赔偿责任的，基金管理人应赔偿基金托管人由此遭受的损失。</w:t>
      </w:r>
    </w:p>
    <w:p w:rsidR="00052C6C">
      <w:pPr>
        <w:snapToGrid w:val="0"/>
        <w:ind w:firstLine="480"/>
        <w:rPr>
          <w:rFonts w:ascii="宋体" w:hAnsi="宋体" w:cs="宋体"/>
          <w:sz w:val="24"/>
          <w:lang w:eastAsia="zh-CN"/>
        </w:rPr>
      </w:pPr>
      <w:r>
        <w:rPr>
          <w:rFonts w:ascii="宋体" w:hAnsi="宋体" w:cs="宋体"/>
          <w:sz w:val="24"/>
          <w:highlight w:val="white"/>
          <w:lang w:eastAsia="zh-CN"/>
        </w:rPr>
        <w:t>3.</w:t>
      </w:r>
      <w:r>
        <w:rPr>
          <w:rFonts w:ascii="宋体" w:hAnsi="宋体" w:cs="宋体" w:hint="eastAsia"/>
          <w:sz w:val="24"/>
          <w:highlight w:val="white"/>
          <w:lang w:eastAsia="zh-CN"/>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1</w:t>
      </w:r>
      <w:r>
        <w:rPr>
          <w:rFonts w:ascii="宋体" w:hAnsi="宋体" w:cs="宋体" w:hint="eastAsia"/>
          <w:sz w:val="24"/>
          <w:highlight w:val="white"/>
          <w:lang w:eastAsia="zh-CN"/>
        </w:rPr>
        <w:t>）中国证监会批准发行非公开发行股票的批准文件。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2</w:t>
      </w:r>
      <w:r>
        <w:rPr>
          <w:rFonts w:ascii="宋体" w:hAnsi="宋体" w:cs="宋体" w:hint="eastAsia"/>
          <w:sz w:val="24"/>
          <w:highlight w:val="white"/>
          <w:lang w:eastAsia="zh-CN"/>
        </w:rPr>
        <w:t>）非公开发行股票有关发行数量、发行价格、锁定期等发行资料。</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）基金拟认购的数量、价</w:t>
      </w:r>
      <w:r>
        <w:rPr>
          <w:rFonts w:ascii="宋体" w:hAnsi="宋体" w:cs="宋体"/>
          <w:sz w:val="24"/>
          <w:highlight w:val="white"/>
          <w:lang w:eastAsia="zh-CN"/>
        </w:rPr>
        <w:t>格、总成本、账面价值。</w:t>
      </w:r>
    </w:p>
    <w:p w:rsidR="00052C6C">
      <w:pPr>
        <w:snapToGrid w:val="0"/>
        <w:ind w:firstLine="480"/>
        <w:rPr>
          <w:rFonts w:ascii="宋体" w:hAnsi="宋体" w:cs="宋体"/>
          <w:sz w:val="24"/>
          <w:lang w:eastAsia="zh-CN"/>
        </w:rPr>
      </w:pPr>
      <w:r>
        <w:rPr>
          <w:rFonts w:ascii="宋体" w:hAnsi="宋体" w:cs="宋体"/>
          <w:sz w:val="24"/>
          <w:highlight w:val="white"/>
          <w:lang w:eastAsia="zh-CN"/>
        </w:rPr>
        <w:t>4.</w:t>
      </w:r>
      <w:r>
        <w:rPr>
          <w:rFonts w:ascii="宋体" w:hAnsi="宋体" w:cs="宋体"/>
          <w:sz w:val="24"/>
          <w:highlight w:val="white"/>
          <w:lang w:eastAsia="zh-CN"/>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052C6C">
      <w:pPr>
        <w:ind w:firstLine="480"/>
        <w:rPr>
          <w:rFonts w:ascii="宋体" w:hAnsi="宋体" w:cs="宋体"/>
          <w:sz w:val="24"/>
          <w:lang w:eastAsia="zh-CN"/>
        </w:rPr>
      </w:pPr>
      <w:r>
        <w:rPr>
          <w:rFonts w:ascii="宋体" w:hAnsi="宋体" w:cs="宋体"/>
          <w:sz w:val="24"/>
          <w:highlight w:val="white"/>
          <w:lang w:eastAsia="zh-CN"/>
        </w:rPr>
        <w:t>本基金有关投资流通受限证券比例如违反有关限制规定，在合理期限内未能进行及时调整，基金管理人应按照《信息披露办法》的要求进行公告。</w:t>
      </w:r>
    </w:p>
    <w:p w:rsidR="00052C6C">
      <w:pPr>
        <w:snapToGrid w:val="0"/>
        <w:ind w:firstLine="480"/>
        <w:rPr>
          <w:rFonts w:ascii="宋体" w:hAnsi="宋体" w:cs="宋体"/>
          <w:sz w:val="24"/>
          <w:lang w:eastAsia="zh-CN"/>
        </w:rPr>
      </w:pPr>
      <w:r>
        <w:rPr>
          <w:rFonts w:ascii="宋体" w:hAnsi="宋体" w:cs="宋体"/>
          <w:sz w:val="24"/>
          <w:highlight w:val="white"/>
          <w:lang w:eastAsia="zh-CN"/>
        </w:rPr>
        <w:t>5.</w:t>
      </w:r>
      <w:r>
        <w:rPr>
          <w:rFonts w:ascii="宋体" w:hAnsi="宋体" w:cs="宋体"/>
          <w:sz w:val="24"/>
          <w:highlight w:val="white"/>
          <w:lang w:eastAsia="zh-CN"/>
        </w:rPr>
        <w:t>相关法律法规对基金投资流通受限证券有新规定的，从其规定。</w:t>
      </w:r>
    </w:p>
    <w:p w:rsidR="00052C6C">
      <w:pPr>
        <w:snapToGrid w:val="0"/>
        <w:ind w:firstLine="482"/>
        <w:rPr>
          <w:rFonts w:ascii="宋体" w:hAnsi="宋体" w:cs="宋体"/>
          <w:sz w:val="24"/>
          <w:lang w:eastAsia="zh-CN"/>
        </w:rPr>
      </w:pPr>
      <w:r>
        <w:rPr>
          <w:rFonts w:ascii="宋体" w:hAnsi="宋体" w:cs="宋体" w:hint="eastAsia"/>
          <w:sz w:val="24"/>
          <w:highlight w:val="white"/>
          <w:lang w:eastAsia="zh-CN"/>
        </w:rPr>
        <w:t>（五）基金托管人根据有关法律法规的规定及《基金合同》的约定，对基金资产净值计算、各类基金份额净值计算、应</w:t>
      </w:r>
      <w:r>
        <w:rPr>
          <w:rFonts w:ascii="宋体" w:hAnsi="宋体" w:cs="宋体" w:hint="eastAsia"/>
          <w:sz w:val="24"/>
          <w:highlight w:val="white"/>
          <w:lang w:eastAsia="zh-CN"/>
        </w:rPr>
        <w:t>收资金到账、基金费用开支及收入确定、基金收益分配、相关信息披露、基金宣传推介材料中登载基金业绩表现数据等进行监督和核查。</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hint="eastAsia"/>
          <w:sz w:val="24"/>
          <w:highlight w:val="white"/>
          <w:lang w:eastAsia="zh-CN"/>
        </w:rPr>
        <w:t>六</w:t>
      </w:r>
      <w:r>
        <w:rPr>
          <w:rFonts w:ascii="宋体" w:hAnsi="宋体" w:cs="宋体"/>
          <w:sz w:val="24"/>
          <w:highlight w:val="white"/>
          <w:lang w:eastAsia="zh-CN"/>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w:t>
      </w:r>
      <w:r>
        <w:rPr>
          <w:rFonts w:ascii="宋体" w:hAnsi="宋体" w:cs="宋体"/>
          <w:sz w:val="24"/>
          <w:highlight w:val="white"/>
          <w:lang w:eastAsia="zh-CN"/>
        </w:rPr>
        <w:t>基金托管人应报告中国证监会。</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（八）若基金托管人发现基金管理人依据交易程序已经生效的指令违反法律、行政法规和其他有关规定，或者违反《基金合同》约定的，应当立即通知基金管理</w:t>
      </w:r>
      <w:r>
        <w:rPr>
          <w:rFonts w:ascii="宋体" w:hAnsi="宋体" w:cs="宋体" w:hint="eastAsia"/>
          <w:sz w:val="24"/>
          <w:highlight w:val="white"/>
          <w:lang w:eastAsia="zh-CN"/>
        </w:rPr>
        <w:t>人，由此造成的损失由基金管理人承担。</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52C6C">
      <w:pPr>
        <w:rPr>
          <w:rFonts w:ascii="宋体" w:hAnsi="宋体" w:cs="宋体"/>
          <w:sz w:val="24"/>
          <w:lang w:eastAsia="zh-CN"/>
        </w:rPr>
      </w:pPr>
    </w:p>
    <w:p w:rsidR="00052C6C">
      <w:pPr>
        <w:pStyle w:val="21"/>
        <w:jc w:val="center"/>
        <w:rPr>
          <w:rFonts w:ascii="宋体" w:eastAsia="宋体" w:hAnsi="宋体" w:cs="宋体"/>
          <w:sz w:val="30"/>
          <w:lang w:eastAsia="zh-CN"/>
        </w:rPr>
      </w:pPr>
      <w:bookmarkStart w:id="5" w:name="_Toc89163368"/>
      <w:bookmarkStart w:id="6" w:name="_Toc118212950"/>
      <w:bookmarkStart w:id="7" w:name="_Toc110761796"/>
      <w:bookmarkStart w:id="8" w:name="_Toc119402710"/>
      <w:bookmarkStart w:id="9" w:name="_Toc86223242"/>
      <w:bookmarkStart w:id="10" w:name="_Toc118972648"/>
      <w:bookmarkStart w:id="11" w:name="_Toc110765660"/>
      <w:bookmarkStart w:id="12" w:name="_Toc86225291"/>
      <w:bookmarkStart w:id="13" w:name="_Toc86649722"/>
      <w:bookmarkStart w:id="14" w:name="_Toc110830492"/>
      <w:bookmarkStart w:id="15" w:name="_Toc118774803"/>
      <w:bookmarkStart w:id="16" w:name="_Toc108512358"/>
      <w:bookmarkStart w:id="17" w:name="_Toc120435783"/>
      <w:bookmarkStart w:id="18" w:name="_Toc86726439"/>
      <w:bookmarkStart w:id="19" w:name="_Toc86737929"/>
      <w:bookmarkStart w:id="20" w:name="_Toc86727355"/>
      <w:bookmarkStart w:id="21" w:name="_Toc164350589"/>
      <w:r>
        <w:rPr>
          <w:rFonts w:ascii="宋体" w:eastAsia="宋体" w:hAnsi="宋体" w:cs="宋体" w:hint="eastAsia"/>
          <w:sz w:val="30"/>
          <w:highlight w:val="white"/>
          <w:lang w:eastAsia="zh-CN"/>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（一）基金管理人对基金托管人履行托管职责情况进行核查，核查事项包括基金托管人安全保管基金财产、开设基金财产的资金账户和证券账户、</w:t>
      </w:r>
      <w:r>
        <w:rPr>
          <w:rFonts w:ascii="宋体" w:hAnsi="宋体" w:cs="宋体" w:hint="eastAsia"/>
          <w:sz w:val="24"/>
          <w:highlight w:val="white"/>
          <w:lang w:eastAsia="zh-CN"/>
        </w:rPr>
        <w:t>复核基金管理人计算的基金资产净值和各类基金份额净值、根据基金管理人指令办理清算交收、相关信息披露和监督基金投资运作等行为。</w:t>
      </w:r>
    </w:p>
    <w:p w:rsidR="00052C6C">
      <w:pPr>
        <w:snapToGrid w:val="0"/>
        <w:ind w:firstLine="480"/>
        <w:rPr>
          <w:rFonts w:ascii="宋体" w:hAnsi="宋体" w:cs="宋体"/>
          <w:sz w:val="24"/>
          <w:lang w:eastAsia="zh-CN"/>
        </w:rPr>
      </w:pPr>
      <w:r>
        <w:rPr>
          <w:rFonts w:ascii="宋体" w:hAnsi="宋体" w:cs="宋体"/>
          <w:sz w:val="24"/>
          <w:highlight w:val="white"/>
          <w:lang w:eastAsia="zh-CN"/>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w:t>
      </w:r>
      <w:r>
        <w:rPr>
          <w:rFonts w:ascii="宋体" w:hAnsi="宋体" w:cs="宋体"/>
          <w:sz w:val="24"/>
          <w:highlight w:val="white"/>
          <w:lang w:eastAsia="zh-CN"/>
        </w:rPr>
        <w:t>事项进行复查，督促基金托管人改正。基金托管人应积极配合基金管理人的核查行为，包括但不限于：提交相关资料以供基金管理人核查托管财产的完整性和真实性，在规定时间内答复基金管理人并改正。</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52C6C">
      <w:pPr>
        <w:rPr>
          <w:rFonts w:ascii="宋体" w:hAnsi="宋体" w:cs="宋体"/>
          <w:sz w:val="24"/>
          <w:lang w:eastAsia="zh-CN"/>
        </w:rPr>
      </w:pPr>
    </w:p>
    <w:p w:rsidR="00052C6C">
      <w:pPr>
        <w:pStyle w:val="21"/>
        <w:jc w:val="center"/>
        <w:rPr>
          <w:rFonts w:ascii="宋体" w:eastAsia="宋体" w:hAnsi="宋体" w:cs="宋体"/>
          <w:sz w:val="30"/>
          <w:lang w:eastAsia="zh-CN"/>
        </w:rPr>
      </w:pPr>
      <w:bookmarkStart w:id="22" w:name="_Toc86649723"/>
      <w:bookmarkStart w:id="23" w:name="_Toc84234435"/>
      <w:bookmarkStart w:id="24" w:name="_Toc110761797"/>
      <w:bookmarkStart w:id="25" w:name="_Toc89163369"/>
      <w:bookmarkStart w:id="26" w:name="_Toc119402711"/>
      <w:bookmarkStart w:id="27" w:name="_Toc86204789"/>
      <w:bookmarkStart w:id="28" w:name="_Toc84234388"/>
      <w:bookmarkStart w:id="29" w:name="_Toc118972649"/>
      <w:bookmarkStart w:id="30" w:name="_Toc118212951"/>
      <w:bookmarkStart w:id="31" w:name="_Toc86726440"/>
      <w:bookmarkStart w:id="32" w:name="_Toc110830493"/>
      <w:bookmarkStart w:id="33" w:name="_Toc86225292"/>
      <w:bookmarkStart w:id="34" w:name="_Toc86727356"/>
      <w:bookmarkStart w:id="35" w:name="_Toc86223243"/>
      <w:bookmarkStart w:id="36" w:name="_Toc84133786"/>
      <w:bookmarkStart w:id="37" w:name="_Toc110765661"/>
      <w:bookmarkStart w:id="38" w:name="_Toc108512359"/>
      <w:bookmarkStart w:id="39" w:name="_Toc120435784"/>
      <w:bookmarkStart w:id="40" w:name="_Toc118774804"/>
      <w:bookmarkStart w:id="41" w:name="_Toc86737930"/>
      <w:bookmarkStart w:id="42" w:name="_Toc164350590"/>
      <w:r>
        <w:rPr>
          <w:rFonts w:ascii="宋体" w:eastAsia="宋体" w:hAnsi="宋体" w:cs="宋体" w:hint="eastAsia"/>
          <w:sz w:val="30"/>
          <w:highlight w:val="white"/>
          <w:lang w:eastAsia="zh-CN"/>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w:t>
      </w:r>
      <w:r>
        <w:rPr>
          <w:rFonts w:ascii="宋体" w:hAnsi="宋体" w:cs="宋体" w:hint="eastAsia"/>
          <w:sz w:val="24"/>
          <w:highlight w:val="white"/>
          <w:lang w:eastAsia="zh-CN"/>
        </w:rPr>
        <w:t>基金财产保管的原则</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基金财产应独立于基金管理人、基金托管人的固有财产。</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基金托管人应安全保管基金财产。</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基金托管人按照规定开设基金财产的资金账户和证券账户。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hint="eastAsia"/>
          <w:sz w:val="24"/>
          <w:highlight w:val="white"/>
          <w:lang w:eastAsia="zh-CN"/>
        </w:rPr>
        <w:t>基金托管人对所托管的不同基金财产分别设置账户，确保基金财产的完整与独立。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5.</w:t>
      </w:r>
      <w:r>
        <w:rPr>
          <w:rFonts w:ascii="宋体" w:hAnsi="宋体" w:cs="宋体" w:hint="eastAsia"/>
          <w:sz w:val="24"/>
          <w:highlight w:val="white"/>
          <w:lang w:eastAsia="zh-CN"/>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Pr>
          <w:rFonts w:ascii="宋体" w:hAnsi="宋体" w:cs="宋体" w:hint="eastAsia"/>
          <w:sz w:val="24"/>
          <w:highlight w:val="white"/>
          <w:lang w:eastAsia="zh-CN"/>
        </w:rPr>
        <w:t>/</w:t>
      </w:r>
      <w:r>
        <w:rPr>
          <w:rFonts w:ascii="宋体" w:hAnsi="宋体" w:cs="宋体" w:hint="eastAsia"/>
          <w:sz w:val="24"/>
          <w:highlight w:val="white"/>
          <w:lang w:eastAsia="zh-CN"/>
        </w:rPr>
        <w:t>登记结算机构扣收交易费、结算费和账户维护费等费用）。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6.</w:t>
      </w:r>
      <w:r>
        <w:rPr>
          <w:rFonts w:ascii="宋体" w:hAnsi="宋体" w:cs="宋体" w:hint="eastAsia"/>
          <w:sz w:val="24"/>
          <w:highlight w:val="white"/>
          <w:lang w:eastAsia="zh-CN"/>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w:t>
      </w:r>
      <w:r>
        <w:rPr>
          <w:rFonts w:ascii="宋体" w:hAnsi="宋体" w:cs="宋体" w:hint="eastAsia"/>
          <w:sz w:val="24"/>
          <w:highlight w:val="white"/>
          <w:lang w:eastAsia="zh-CN"/>
        </w:rPr>
        <w:t>基金托管人应及时通知基金管理人采取措施进行催收。由此给基金财产造成损失的，基金管理人应负责向有关当事人追偿基金财产的损失，基金托管人对此不承担任何责任。</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7.</w:t>
      </w:r>
      <w:r>
        <w:rPr>
          <w:rFonts w:ascii="宋体" w:hAnsi="宋体" w:cs="宋体" w:hint="eastAsia"/>
          <w:sz w:val="24"/>
          <w:highlight w:val="white"/>
          <w:lang w:eastAsia="zh-CN"/>
        </w:rPr>
        <w:t>除依据法律法规和《基金合同》的规定外，基金托管人不得委托第三人托管基金财产。</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（二）基金募集期间及募集资金的验资</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基金募集期间</w:t>
      </w:r>
      <w:r>
        <w:rPr>
          <w:rFonts w:ascii="宋体" w:hAnsi="宋体" w:cs="宋体"/>
          <w:sz w:val="24"/>
          <w:highlight w:val="white"/>
          <w:lang w:eastAsia="zh-CN"/>
        </w:rPr>
        <w:t>募集的</w:t>
      </w:r>
      <w:r>
        <w:rPr>
          <w:rFonts w:ascii="宋体" w:hAnsi="宋体" w:cs="宋体" w:hint="eastAsia"/>
          <w:sz w:val="24"/>
          <w:highlight w:val="white"/>
          <w:lang w:eastAsia="zh-CN"/>
        </w:rPr>
        <w:t>资</w:t>
      </w:r>
      <w:r>
        <w:rPr>
          <w:rFonts w:ascii="宋体" w:hAnsi="宋体" w:cs="宋体"/>
          <w:sz w:val="24"/>
          <w:highlight w:val="white"/>
          <w:lang w:eastAsia="zh-CN"/>
        </w:rPr>
        <w:t>金</w:t>
      </w:r>
      <w:r>
        <w:rPr>
          <w:rFonts w:ascii="宋体" w:hAnsi="宋体" w:cs="宋体" w:hint="eastAsia"/>
          <w:sz w:val="24"/>
          <w:highlight w:val="white"/>
          <w:lang w:eastAsia="zh-CN"/>
        </w:rPr>
        <w:t>应</w:t>
      </w:r>
      <w:r>
        <w:rPr>
          <w:rFonts w:ascii="宋体" w:hAnsi="宋体" w:cs="宋体"/>
          <w:sz w:val="24"/>
          <w:highlight w:val="white"/>
          <w:lang w:eastAsia="zh-CN"/>
        </w:rPr>
        <w:t>存于基金管理人在基金托管人的</w:t>
      </w:r>
      <w:r>
        <w:rPr>
          <w:rFonts w:ascii="宋体" w:hAnsi="宋体" w:cs="宋体" w:hint="eastAsia"/>
          <w:sz w:val="24"/>
          <w:highlight w:val="white"/>
          <w:lang w:eastAsia="zh-CN"/>
        </w:rPr>
        <w:t>营业</w:t>
      </w:r>
      <w:r>
        <w:rPr>
          <w:rFonts w:ascii="宋体" w:hAnsi="宋体" w:cs="宋体"/>
          <w:sz w:val="24"/>
          <w:highlight w:val="white"/>
          <w:lang w:eastAsia="zh-CN"/>
        </w:rPr>
        <w:t>机构开立的</w:t>
      </w:r>
      <w:r>
        <w:rPr>
          <w:rFonts w:ascii="宋体" w:hAnsi="宋体" w:cs="宋体"/>
          <w:sz w:val="24"/>
          <w:highlight w:val="white"/>
          <w:lang w:eastAsia="zh-CN"/>
        </w:rPr>
        <w:t>“</w:t>
      </w:r>
      <w:r>
        <w:rPr>
          <w:rFonts w:ascii="宋体" w:hAnsi="宋体" w:cs="宋体"/>
          <w:sz w:val="24"/>
          <w:highlight w:val="white"/>
          <w:lang w:eastAsia="zh-CN"/>
        </w:rPr>
        <w:t>基金募集</w:t>
      </w:r>
      <w:r>
        <w:rPr>
          <w:rFonts w:ascii="宋体" w:hAnsi="宋体" w:cs="宋体" w:hint="eastAsia"/>
          <w:sz w:val="24"/>
          <w:highlight w:val="white"/>
          <w:lang w:eastAsia="zh-CN"/>
        </w:rPr>
        <w:t>专户</w:t>
      </w:r>
      <w:r>
        <w:rPr>
          <w:rFonts w:ascii="宋体" w:hAnsi="宋体" w:cs="宋体"/>
          <w:sz w:val="24"/>
          <w:highlight w:val="white"/>
          <w:lang w:eastAsia="zh-CN"/>
        </w:rPr>
        <w:t>”</w:t>
      </w:r>
      <w:r>
        <w:rPr>
          <w:rFonts w:ascii="宋体" w:hAnsi="宋体" w:cs="宋体"/>
          <w:sz w:val="24"/>
          <w:highlight w:val="white"/>
          <w:lang w:eastAsia="zh-CN"/>
        </w:rPr>
        <w:t>。</w:t>
      </w:r>
      <w:r>
        <w:rPr>
          <w:rFonts w:ascii="宋体" w:hAnsi="宋体" w:cs="宋体" w:hint="eastAsia"/>
          <w:sz w:val="24"/>
          <w:highlight w:val="white"/>
          <w:lang w:eastAsia="zh-CN"/>
        </w:rPr>
        <w:t>该账户</w:t>
      </w:r>
      <w:r>
        <w:rPr>
          <w:rFonts w:ascii="宋体" w:hAnsi="宋体" w:cs="宋体"/>
          <w:sz w:val="24"/>
          <w:highlight w:val="white"/>
          <w:lang w:eastAsia="zh-CN"/>
        </w:rPr>
        <w:t>由基金管理人开立并管理</w:t>
      </w:r>
      <w:r>
        <w:rPr>
          <w:rFonts w:ascii="宋体" w:hAnsi="宋体" w:cs="宋体" w:hint="eastAsia"/>
          <w:sz w:val="24"/>
          <w:highlight w:val="white"/>
          <w:lang w:eastAsia="zh-CN"/>
        </w:rPr>
        <w:t>。</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基金募集期满或基金停止募集时，募集的基金份额总额、基金募集金额、基金份额持有人人数符合《基金法》、《运作办法》等有关</w:t>
      </w:r>
      <w:r>
        <w:rPr>
          <w:rFonts w:ascii="宋体" w:hAnsi="宋体" w:cs="宋体" w:hint="eastAsia"/>
          <w:sz w:val="24"/>
          <w:highlight w:val="white"/>
          <w:lang w:eastAsia="zh-CN"/>
        </w:rPr>
        <w:t>规定后，基金管理人应将属于基金财产的全部资金划入基金托管人开立的基金银行账户，同时在规定时间内，聘请符合《证券法》规定的会计师事务所进行验资，出具验资报告。出具的验资报告由参加验资的</w:t>
      </w:r>
      <w:r>
        <w:rPr>
          <w:rFonts w:ascii="宋体" w:hAnsi="宋体" w:cs="宋体" w:hint="eastAsia"/>
          <w:sz w:val="24"/>
          <w:highlight w:val="white"/>
          <w:lang w:eastAsia="zh-CN"/>
        </w:rPr>
        <w:t>2</w:t>
      </w:r>
      <w:r>
        <w:rPr>
          <w:rFonts w:ascii="宋体" w:hAnsi="宋体" w:cs="宋体" w:hint="eastAsia"/>
          <w:sz w:val="24"/>
          <w:highlight w:val="white"/>
          <w:lang w:eastAsia="zh-CN"/>
        </w:rPr>
        <w:t>名或</w:t>
      </w:r>
      <w:r>
        <w:rPr>
          <w:rFonts w:ascii="宋体" w:hAnsi="宋体" w:cs="宋体" w:hint="eastAsia"/>
          <w:sz w:val="24"/>
          <w:highlight w:val="white"/>
          <w:lang w:eastAsia="zh-CN"/>
        </w:rPr>
        <w:t>2</w:t>
      </w:r>
      <w:r>
        <w:rPr>
          <w:rFonts w:ascii="宋体" w:hAnsi="宋体" w:cs="宋体" w:hint="eastAsia"/>
          <w:sz w:val="24"/>
          <w:highlight w:val="white"/>
          <w:lang w:eastAsia="zh-CN"/>
        </w:rPr>
        <w:t>名以上中国注册会计师签字方为有效。</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若基金募集期限届满，未能达到《基金合同》生效的条件，由基金管理人按规定办理退款等事宜。</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（三）基金银行账户的开立和管理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基金托管人可以基金的名义在其营业机构开立基金的银行账户，并根据基金管理人合法合规的指令办理资金收付。本基金的银行预留印鉴由基金托管人保管和使用。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基金银行</w:t>
      </w:r>
      <w:r>
        <w:rPr>
          <w:rFonts w:ascii="宋体" w:hAnsi="宋体" w:cs="宋体" w:hint="eastAsia"/>
          <w:sz w:val="24"/>
          <w:highlight w:val="white"/>
          <w:lang w:eastAsia="zh-CN"/>
        </w:rPr>
        <w:t>账户的开立和使用，限于满足开展本基金业务的需要。基金托管人和基金管理人不得假借本基金的名义开立任何其他银行账户；亦不得使用基金的任何账户进行本基金业务以外的活动。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基金银行账户的开立和管理应符合银行业监督管理机构的有关规定。</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hint="eastAsia"/>
          <w:sz w:val="24"/>
          <w:highlight w:val="white"/>
          <w:lang w:eastAsia="zh-CN"/>
        </w:rPr>
        <w:t>在符合法律法规规定的条件下，基金托管人可以通过基金托管人专用账户办理基金资产的支付。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5.</w:t>
      </w:r>
      <w:r>
        <w:rPr>
          <w:rFonts w:ascii="宋体" w:hAnsi="宋体" w:cs="宋体" w:hint="eastAsia"/>
          <w:sz w:val="24"/>
          <w:highlight w:val="white"/>
          <w:lang w:eastAsia="zh-CN"/>
        </w:rPr>
        <w:t>基金管理人应于产品终止后及时完成收益兑付、费用结清及其他应收应付款项资金划转，在确保后续不再发生款项进出后的</w:t>
      </w:r>
      <w:r>
        <w:rPr>
          <w:rFonts w:ascii="宋体" w:hAnsi="宋体" w:cs="宋体" w:hint="eastAsia"/>
          <w:sz w:val="24"/>
          <w:highlight w:val="white"/>
          <w:lang w:eastAsia="zh-CN"/>
        </w:rPr>
        <w:t>10</w:t>
      </w:r>
      <w:r>
        <w:rPr>
          <w:rFonts w:ascii="宋体" w:hAnsi="宋体" w:cs="宋体" w:hint="eastAsia"/>
          <w:sz w:val="24"/>
          <w:highlight w:val="white"/>
          <w:lang w:eastAsia="zh-CN"/>
        </w:rPr>
        <w:t>个工作日内向基金托管人发出销户申请。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（四）基金证券账户和结算备付金账户的开</w:t>
      </w:r>
      <w:r>
        <w:rPr>
          <w:rFonts w:ascii="宋体" w:hAnsi="宋体" w:cs="宋体" w:hint="eastAsia"/>
          <w:sz w:val="24"/>
          <w:highlight w:val="white"/>
          <w:lang w:eastAsia="zh-CN"/>
        </w:rPr>
        <w:t>立和管理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基金托管人在中国证券登记结算有限责任公司为基金开立基金托管人与基金联名的证券账户。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基金证券账户的开立和证券账户卡的保管由基金托管人负责，账户资产的管理和运用由基金管理人负责。</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证券账户开户费由基金管理人先行垫付</w:t>
      </w:r>
      <w:r>
        <w:rPr>
          <w:rFonts w:ascii="宋体" w:hAnsi="宋体" w:cs="宋体" w:hint="eastAsia"/>
          <w:sz w:val="24"/>
          <w:highlight w:val="white"/>
          <w:lang w:eastAsia="zh-CN"/>
        </w:rPr>
        <w:t>,</w:t>
      </w:r>
      <w:r>
        <w:rPr>
          <w:rFonts w:ascii="宋体" w:hAnsi="宋体" w:cs="宋体" w:hint="eastAsia"/>
          <w:sz w:val="24"/>
          <w:highlight w:val="white"/>
          <w:lang w:eastAsia="zh-CN"/>
        </w:rPr>
        <w:t>待托管产品启始运营后</w:t>
      </w:r>
      <w:r>
        <w:rPr>
          <w:rFonts w:ascii="宋体" w:hAnsi="宋体" w:cs="宋体"/>
          <w:sz w:val="24"/>
          <w:highlight w:val="white"/>
          <w:lang w:eastAsia="zh-CN"/>
        </w:rPr>
        <w:t>,</w:t>
      </w:r>
      <w:r>
        <w:rPr>
          <w:rFonts w:ascii="宋体" w:hAnsi="宋体" w:cs="宋体" w:hint="eastAsia"/>
          <w:sz w:val="24"/>
          <w:highlight w:val="white"/>
          <w:lang w:eastAsia="zh-CN"/>
        </w:rPr>
        <w:t>基金管理人可向基金托管人发送划款指令</w:t>
      </w:r>
      <w:r>
        <w:rPr>
          <w:rFonts w:ascii="宋体" w:hAnsi="宋体" w:cs="宋体" w:hint="eastAsia"/>
          <w:sz w:val="24"/>
          <w:highlight w:val="white"/>
          <w:lang w:eastAsia="zh-CN"/>
        </w:rPr>
        <w:t>,</w:t>
      </w:r>
      <w:r>
        <w:rPr>
          <w:rFonts w:ascii="宋体" w:hAnsi="宋体" w:cs="宋体" w:hint="eastAsia"/>
          <w:sz w:val="24"/>
          <w:highlight w:val="white"/>
          <w:lang w:eastAsia="zh-CN"/>
        </w:rPr>
        <w:t>将代垫开户费从本基金托管资金账户中扣还基金管理人。</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hint="eastAsia"/>
          <w:sz w:val="24"/>
          <w:highlight w:val="white"/>
          <w:lang w:eastAsia="zh-CN"/>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5.</w:t>
      </w:r>
      <w:r>
        <w:rPr>
          <w:rFonts w:ascii="宋体" w:hAnsi="宋体" w:cs="宋体" w:hint="eastAsia"/>
          <w:sz w:val="24"/>
          <w:highlight w:val="white"/>
          <w:lang w:eastAsia="zh-CN"/>
        </w:rPr>
        <w:t>账户注销时，在遵守中国证券登记结算公司的相关规定下，由管理人和托管人协商确认主要办理人。账户</w:t>
      </w:r>
      <w:r>
        <w:rPr>
          <w:rFonts w:ascii="宋体" w:hAnsi="宋体" w:cs="宋体" w:hint="eastAsia"/>
          <w:sz w:val="24"/>
          <w:highlight w:val="white"/>
          <w:lang w:eastAsia="zh-CN"/>
        </w:rPr>
        <w:t>注销期间，主要办理人如需另一方提供配合的，另一方应予以配合。</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6.</w:t>
      </w:r>
      <w:r>
        <w:rPr>
          <w:rFonts w:ascii="宋体" w:hAnsi="宋体" w:cs="宋体" w:hint="eastAsia"/>
          <w:sz w:val="24"/>
          <w:highlight w:val="white"/>
          <w:lang w:eastAsia="zh-CN"/>
        </w:rPr>
        <w:t>若中国证监会或其他监管机构在本托管协议订立日之后允许基金从事其他投资品种的投资业务，涉及相关账户的开立、使用的，若无相关规定，则基金托管人比照上述关于账户开立、使用的规定执行。</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（五）债券托管专户的开设和管理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w:t>
      </w:r>
      <w:r>
        <w:rPr>
          <w:rFonts w:ascii="宋体" w:hAnsi="宋体" w:cs="宋体" w:hint="eastAsia"/>
          <w:sz w:val="24"/>
          <w:highlight w:val="white"/>
          <w:lang w:eastAsia="zh-CN"/>
        </w:rPr>
        <w:t>算账户，并代表基金进行银行间市场债券的结算。基金管理人代表基金签订全国银行间债券市场债券回购主协议。</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（六）其他账户的开立和管理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法律法规等有关规定对相关账户的开立和管理另有规定的，从其规定办理。</w:t>
      </w:r>
    </w:p>
    <w:p w:rsidR="00052C6C">
      <w:pPr>
        <w:snapToGrid w:val="0"/>
        <w:ind w:firstLine="480"/>
        <w:rPr>
          <w:rFonts w:ascii="宋体" w:hAnsi="宋体" w:cs="宋体"/>
          <w:sz w:val="24"/>
          <w:lang w:eastAsia="zh-CN"/>
        </w:rPr>
      </w:pPr>
      <w:r>
        <w:rPr>
          <w:rFonts w:ascii="宋体" w:hAnsi="宋体" w:cs="宋体"/>
          <w:sz w:val="24"/>
          <w:highlight w:val="white"/>
          <w:lang w:eastAsia="zh-CN"/>
        </w:rPr>
        <w:t>本基金在开始</w:t>
      </w:r>
      <w:r>
        <w:rPr>
          <w:rFonts w:ascii="宋体" w:hAnsi="宋体" w:cs="宋体" w:hint="eastAsia"/>
          <w:sz w:val="24"/>
          <w:highlight w:val="white"/>
          <w:lang w:eastAsia="zh-CN"/>
        </w:rPr>
        <w:t>进</w:t>
      </w:r>
      <w:r>
        <w:rPr>
          <w:rFonts w:ascii="宋体" w:hAnsi="宋体" w:cs="宋体"/>
          <w:sz w:val="24"/>
          <w:highlight w:val="white"/>
          <w:lang w:eastAsia="zh-CN"/>
        </w:rPr>
        <w:t>行期</w:t>
      </w:r>
      <w:r>
        <w:rPr>
          <w:rFonts w:ascii="宋体" w:hAnsi="宋体" w:cs="宋体" w:hint="eastAsia"/>
          <w:sz w:val="24"/>
          <w:highlight w:val="white"/>
          <w:lang w:eastAsia="zh-CN"/>
        </w:rPr>
        <w:t>货</w:t>
      </w:r>
      <w:r>
        <w:rPr>
          <w:rFonts w:ascii="宋体" w:hAnsi="宋体" w:cs="宋体"/>
          <w:sz w:val="24"/>
          <w:highlight w:val="white"/>
          <w:lang w:eastAsia="zh-CN"/>
        </w:rPr>
        <w:t>投</w:t>
      </w:r>
      <w:r>
        <w:rPr>
          <w:rFonts w:ascii="宋体" w:hAnsi="宋体" w:cs="宋体" w:hint="eastAsia"/>
          <w:sz w:val="24"/>
          <w:highlight w:val="white"/>
          <w:lang w:eastAsia="zh-CN"/>
        </w:rPr>
        <w:t>资</w:t>
      </w:r>
      <w:r>
        <w:rPr>
          <w:rFonts w:ascii="宋体" w:hAnsi="宋体" w:cs="宋体"/>
          <w:sz w:val="24"/>
          <w:highlight w:val="white"/>
          <w:lang w:eastAsia="zh-CN"/>
        </w:rPr>
        <w:t>之前，</w:t>
      </w:r>
      <w:r>
        <w:rPr>
          <w:rFonts w:ascii="宋体" w:hAnsi="宋体" w:cs="宋体" w:hint="eastAsia"/>
          <w:sz w:val="24"/>
          <w:highlight w:val="white"/>
          <w:lang w:eastAsia="zh-CN"/>
        </w:rPr>
        <w:t>应</w:t>
      </w:r>
      <w:r>
        <w:rPr>
          <w:rFonts w:ascii="宋体" w:hAnsi="宋体" w:cs="宋体"/>
          <w:sz w:val="24"/>
          <w:highlight w:val="white"/>
          <w:lang w:eastAsia="zh-CN"/>
        </w:rPr>
        <w:t>与基金托管人、期</w:t>
      </w:r>
      <w:r>
        <w:rPr>
          <w:rFonts w:ascii="宋体" w:hAnsi="宋体" w:cs="宋体" w:hint="eastAsia"/>
          <w:sz w:val="24"/>
          <w:highlight w:val="white"/>
          <w:lang w:eastAsia="zh-CN"/>
        </w:rPr>
        <w:t>货</w:t>
      </w:r>
      <w:r>
        <w:rPr>
          <w:rFonts w:ascii="宋体" w:hAnsi="宋体" w:cs="宋体"/>
          <w:sz w:val="24"/>
          <w:highlight w:val="white"/>
          <w:lang w:eastAsia="zh-CN"/>
        </w:rPr>
        <w:t>公司三方</w:t>
      </w:r>
      <w:r>
        <w:rPr>
          <w:rFonts w:ascii="宋体" w:hAnsi="宋体" w:cs="宋体"/>
          <w:sz w:val="24"/>
          <w:highlight w:val="white"/>
          <w:lang w:eastAsia="zh-CN"/>
        </w:rPr>
        <w:t>一同就期</w:t>
      </w:r>
      <w:r>
        <w:rPr>
          <w:rFonts w:ascii="宋体" w:hAnsi="宋体" w:cs="宋体" w:hint="eastAsia"/>
          <w:sz w:val="24"/>
          <w:highlight w:val="white"/>
          <w:lang w:eastAsia="zh-CN"/>
        </w:rPr>
        <w:t>货</w:t>
      </w:r>
      <w:r>
        <w:rPr>
          <w:rFonts w:ascii="宋体" w:hAnsi="宋体" w:cs="宋体"/>
          <w:sz w:val="24"/>
          <w:highlight w:val="white"/>
          <w:lang w:eastAsia="zh-CN"/>
        </w:rPr>
        <w:t>开</w:t>
      </w:r>
      <w:r>
        <w:rPr>
          <w:rFonts w:ascii="宋体" w:hAnsi="宋体" w:cs="宋体" w:hint="eastAsia"/>
          <w:sz w:val="24"/>
          <w:highlight w:val="white"/>
          <w:lang w:eastAsia="zh-CN"/>
        </w:rPr>
        <w:t>户</w:t>
      </w:r>
      <w:r>
        <w:rPr>
          <w:rFonts w:ascii="宋体" w:hAnsi="宋体" w:cs="宋体"/>
          <w:sz w:val="24"/>
          <w:highlight w:val="white"/>
          <w:lang w:eastAsia="zh-CN"/>
        </w:rPr>
        <w:t>、清算、估</w:t>
      </w:r>
      <w:r>
        <w:rPr>
          <w:rFonts w:ascii="宋体" w:hAnsi="宋体" w:cs="宋体" w:hint="eastAsia"/>
          <w:sz w:val="24"/>
          <w:highlight w:val="white"/>
          <w:lang w:eastAsia="zh-CN"/>
        </w:rPr>
        <w:t>值</w:t>
      </w:r>
      <w:r>
        <w:rPr>
          <w:rFonts w:ascii="宋体" w:hAnsi="宋体" w:cs="宋体"/>
          <w:sz w:val="24"/>
          <w:highlight w:val="white"/>
          <w:lang w:eastAsia="zh-CN"/>
        </w:rPr>
        <w:t>、交收等事宜另行</w:t>
      </w:r>
      <w:r>
        <w:rPr>
          <w:rFonts w:ascii="宋体" w:hAnsi="宋体" w:cs="宋体" w:hint="eastAsia"/>
          <w:sz w:val="24"/>
          <w:highlight w:val="white"/>
          <w:lang w:eastAsia="zh-CN"/>
        </w:rPr>
        <w:t>签</w:t>
      </w:r>
      <w:r>
        <w:rPr>
          <w:rFonts w:ascii="宋体" w:hAnsi="宋体" w:cs="宋体"/>
          <w:sz w:val="24"/>
          <w:highlight w:val="white"/>
          <w:lang w:eastAsia="zh-CN"/>
        </w:rPr>
        <w:t>署《期</w:t>
      </w:r>
      <w:r>
        <w:rPr>
          <w:rFonts w:ascii="宋体" w:hAnsi="宋体" w:cs="宋体" w:hint="eastAsia"/>
          <w:sz w:val="24"/>
          <w:highlight w:val="white"/>
          <w:lang w:eastAsia="zh-CN"/>
        </w:rPr>
        <w:t>货</w:t>
      </w:r>
      <w:r>
        <w:rPr>
          <w:rFonts w:ascii="宋体" w:hAnsi="宋体" w:cs="宋体"/>
          <w:sz w:val="24"/>
          <w:highlight w:val="white"/>
          <w:lang w:eastAsia="zh-CN"/>
        </w:rPr>
        <w:t>投</w:t>
      </w:r>
      <w:r>
        <w:rPr>
          <w:rFonts w:ascii="宋体" w:hAnsi="宋体" w:cs="宋体" w:hint="eastAsia"/>
          <w:sz w:val="24"/>
          <w:highlight w:val="white"/>
          <w:lang w:eastAsia="zh-CN"/>
        </w:rPr>
        <w:t>资</w:t>
      </w:r>
      <w:r>
        <w:rPr>
          <w:rFonts w:ascii="宋体" w:hAnsi="宋体" w:cs="宋体"/>
          <w:sz w:val="24"/>
          <w:highlight w:val="white"/>
          <w:lang w:eastAsia="zh-CN"/>
        </w:rPr>
        <w:t>托管操作三方</w:t>
      </w:r>
      <w:r>
        <w:rPr>
          <w:rFonts w:ascii="宋体" w:hAnsi="宋体" w:cs="宋体" w:hint="eastAsia"/>
          <w:sz w:val="24"/>
          <w:highlight w:val="white"/>
          <w:lang w:eastAsia="zh-CN"/>
        </w:rPr>
        <w:t>备</w:t>
      </w:r>
      <w:r>
        <w:rPr>
          <w:rFonts w:ascii="宋体" w:hAnsi="宋体" w:cs="宋体"/>
          <w:sz w:val="24"/>
          <w:highlight w:val="white"/>
          <w:lang w:eastAsia="zh-CN"/>
        </w:rPr>
        <w:t>忘</w:t>
      </w:r>
      <w:r>
        <w:rPr>
          <w:rFonts w:ascii="宋体" w:hAnsi="宋体" w:cs="宋体" w:hint="eastAsia"/>
          <w:sz w:val="24"/>
          <w:highlight w:val="white"/>
          <w:lang w:eastAsia="zh-CN"/>
        </w:rPr>
        <w:t>录</w:t>
      </w:r>
      <w:r>
        <w:rPr>
          <w:rFonts w:ascii="宋体" w:hAnsi="宋体" w:cs="宋体"/>
          <w:sz w:val="24"/>
          <w:highlight w:val="white"/>
          <w:lang w:eastAsia="zh-CN"/>
        </w:rPr>
        <w:t>》。</w:t>
      </w:r>
    </w:p>
    <w:p w:rsidR="00052C6C">
      <w:pPr>
        <w:snapToGrid w:val="0"/>
        <w:ind w:firstLine="480"/>
        <w:rPr>
          <w:rFonts w:ascii="宋体" w:hAnsi="宋体" w:cs="宋体"/>
          <w:sz w:val="24"/>
          <w:lang w:eastAsia="zh-CN"/>
        </w:rPr>
      </w:pPr>
      <w:r>
        <w:rPr>
          <w:rFonts w:ascii="宋体" w:hAnsi="宋体" w:cs="宋体"/>
          <w:sz w:val="24"/>
          <w:highlight w:val="white"/>
          <w:lang w:eastAsia="zh-CN"/>
        </w:rPr>
        <w:t>本基金如需参与期</w:t>
      </w:r>
      <w:r>
        <w:rPr>
          <w:rFonts w:ascii="宋体" w:hAnsi="宋体" w:cs="宋体" w:hint="eastAsia"/>
          <w:sz w:val="24"/>
          <w:highlight w:val="white"/>
          <w:lang w:eastAsia="zh-CN"/>
        </w:rPr>
        <w:t>权</w:t>
      </w:r>
      <w:r>
        <w:rPr>
          <w:rFonts w:ascii="宋体" w:hAnsi="宋体" w:cs="宋体"/>
          <w:sz w:val="24"/>
          <w:highlight w:val="white"/>
          <w:lang w:eastAsia="zh-CN"/>
        </w:rPr>
        <w:t>交易，</w:t>
      </w:r>
      <w:r>
        <w:rPr>
          <w:rFonts w:ascii="宋体" w:hAnsi="宋体" w:cs="宋体" w:hint="eastAsia"/>
          <w:sz w:val="24"/>
          <w:highlight w:val="white"/>
          <w:lang w:eastAsia="zh-CN"/>
        </w:rPr>
        <w:t>则</w:t>
      </w:r>
      <w:r>
        <w:rPr>
          <w:rFonts w:ascii="宋体" w:hAnsi="宋体" w:cs="宋体"/>
          <w:sz w:val="24"/>
          <w:highlight w:val="white"/>
          <w:lang w:eastAsia="zh-CN"/>
        </w:rPr>
        <w:t>按照相关</w:t>
      </w:r>
      <w:r>
        <w:rPr>
          <w:rFonts w:ascii="宋体" w:hAnsi="宋体" w:cs="宋体" w:hint="eastAsia"/>
          <w:sz w:val="24"/>
          <w:highlight w:val="white"/>
          <w:lang w:eastAsia="zh-CN"/>
        </w:rPr>
        <w:t>规</w:t>
      </w:r>
      <w:r>
        <w:rPr>
          <w:rFonts w:ascii="宋体" w:hAnsi="宋体" w:cs="宋体"/>
          <w:sz w:val="24"/>
          <w:highlight w:val="white"/>
          <w:lang w:eastAsia="zh-CN"/>
        </w:rPr>
        <w:t>定开立</w:t>
      </w:r>
      <w:r>
        <w:rPr>
          <w:rFonts w:ascii="宋体" w:hAnsi="宋体" w:cs="宋体" w:hint="eastAsia"/>
          <w:sz w:val="24"/>
          <w:highlight w:val="white"/>
          <w:lang w:eastAsia="zh-CN"/>
        </w:rPr>
        <w:t>账户</w:t>
      </w:r>
      <w:r>
        <w:rPr>
          <w:rFonts w:ascii="宋体" w:hAnsi="宋体" w:cs="宋体"/>
          <w:sz w:val="24"/>
          <w:highlight w:val="white"/>
          <w:lang w:eastAsia="zh-CN"/>
        </w:rPr>
        <w:t>。</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（七）基金财产投资的有关有价凭证等的保管</w:t>
      </w:r>
    </w:p>
    <w:p w:rsidR="00052C6C">
      <w:pPr>
        <w:snapToGrid w:val="0"/>
        <w:ind w:firstLine="480"/>
        <w:rPr>
          <w:rFonts w:ascii="宋体" w:hAnsi="宋体" w:cs="宋体"/>
          <w:lang w:eastAsia="zh-CN"/>
        </w:rPr>
      </w:pPr>
      <w:r>
        <w:rPr>
          <w:rFonts w:ascii="宋体" w:hAnsi="宋体" w:cs="宋体" w:hint="eastAsia"/>
          <w:sz w:val="24"/>
          <w:highlight w:val="white"/>
          <w:lang w:eastAsia="zh-CN"/>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宋体" w:hAnsi="宋体" w:cs="宋体" w:hint="eastAsia"/>
          <w:sz w:val="24"/>
          <w:highlight w:val="white"/>
          <w:lang w:eastAsia="zh-CN"/>
        </w:rPr>
        <w:t>/</w:t>
      </w:r>
      <w:r>
        <w:rPr>
          <w:rFonts w:ascii="宋体" w:hAnsi="宋体" w:cs="宋体" w:hint="eastAsia"/>
          <w:sz w:val="24"/>
          <w:highlight w:val="white"/>
          <w:lang w:eastAsia="zh-CN"/>
        </w:rPr>
        <w:t>深圳分公司</w:t>
      </w:r>
      <w:r>
        <w:rPr>
          <w:rFonts w:ascii="宋体" w:hAnsi="宋体" w:cs="宋体" w:hint="eastAsia"/>
          <w:sz w:val="24"/>
          <w:highlight w:val="white"/>
          <w:lang w:eastAsia="zh-CN"/>
        </w:rPr>
        <w:t>/</w:t>
      </w:r>
      <w:r>
        <w:rPr>
          <w:rFonts w:ascii="宋体" w:hAnsi="宋体" w:cs="宋体" w:hint="eastAsia"/>
          <w:sz w:val="24"/>
          <w:highlight w:val="white"/>
          <w:lang w:eastAsia="zh-CN"/>
        </w:rPr>
        <w:t>北京分公司、银行间市场清算所股份有限公司或票据营业中心的代保管库，保管凭证由基金托管人持有。实物证券、银行定期存款证实书等有价凭证的购买和转让，按基金管理人</w:t>
      </w:r>
      <w:r>
        <w:rPr>
          <w:rFonts w:ascii="宋体" w:hAnsi="宋体" w:cs="宋体" w:hint="eastAsia"/>
          <w:sz w:val="24"/>
          <w:highlight w:val="white"/>
          <w:lang w:eastAsia="zh-CN"/>
        </w:rPr>
        <w:t>和基金托管人双方约定办理。基金托管人对由基金托管人以外机构实际有效控制或保管的资产不承担任何责任。</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（八）与基金财产有关的重大合同的保管</w:t>
      </w:r>
    </w:p>
    <w:p w:rsidR="00052C6C">
      <w:pPr>
        <w:snapToGrid w:val="0"/>
        <w:ind w:firstLine="480"/>
        <w:rPr>
          <w:rFonts w:ascii="宋体" w:hAnsi="宋体" w:cs="宋体"/>
          <w:sz w:val="30"/>
          <w:szCs w:val="30"/>
          <w:lang w:eastAsia="zh-CN"/>
        </w:rPr>
      </w:pPr>
      <w:r>
        <w:rPr>
          <w:rFonts w:ascii="宋体" w:hAnsi="宋体" w:cs="宋体"/>
          <w:sz w:val="24"/>
          <w:highlight w:val="white"/>
          <w:lang w:eastAsia="zh-CN"/>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w:t>
      </w:r>
      <w:r>
        <w:rPr>
          <w:rFonts w:ascii="宋体" w:hAnsi="宋体" w:cs="宋体"/>
          <w:sz w:val="24"/>
          <w:highlight w:val="white"/>
          <w:lang w:eastAsia="zh-CN"/>
        </w:rPr>
        <w:t>签署后及时以加密方式或双方同意的其他方式将重大合同传真给基金托管人，并在三十个工作日内将正本送达基金托管人处。重大合同的保管期限为《基金合同》终止后</w:t>
      </w:r>
      <w:r>
        <w:rPr>
          <w:rFonts w:ascii="宋体" w:hAnsi="宋体" w:cs="宋体"/>
          <w:sz w:val="24"/>
          <w:highlight w:val="white"/>
          <w:lang w:eastAsia="zh-CN"/>
        </w:rPr>
        <w:t>20</w:t>
      </w:r>
      <w:r>
        <w:rPr>
          <w:rFonts w:ascii="宋体" w:hAnsi="宋体" w:cs="宋体"/>
          <w:sz w:val="24"/>
          <w:highlight w:val="white"/>
          <w:lang w:eastAsia="zh-CN"/>
        </w:rPr>
        <w:t>年。</w:t>
      </w:r>
    </w:p>
    <w:p w:rsidR="00052C6C">
      <w:pPr>
        <w:rPr>
          <w:rFonts w:ascii="宋体" w:hAnsi="宋体" w:cs="宋体"/>
          <w:sz w:val="24"/>
          <w:lang w:eastAsia="zh-CN"/>
        </w:rPr>
      </w:pPr>
    </w:p>
    <w:p w:rsidR="00052C6C">
      <w:pPr>
        <w:pStyle w:val="21"/>
        <w:jc w:val="center"/>
        <w:rPr>
          <w:rFonts w:ascii="宋体" w:eastAsia="宋体" w:hAnsi="宋体" w:cs="宋体"/>
          <w:sz w:val="30"/>
          <w:lang w:eastAsia="zh-CN"/>
        </w:rPr>
      </w:pPr>
      <w:bookmarkStart w:id="43" w:name="_Toc118212952"/>
      <w:bookmarkStart w:id="44" w:name="_Toc86726441"/>
      <w:bookmarkStart w:id="45" w:name="_Toc118972650"/>
      <w:bookmarkStart w:id="46" w:name="_Toc84234389"/>
      <w:bookmarkStart w:id="47" w:name="_Toc86649724"/>
      <w:bookmarkStart w:id="48" w:name="_Toc86727357"/>
      <w:bookmarkStart w:id="49" w:name="_Toc110765662"/>
      <w:bookmarkStart w:id="50" w:name="_Toc120435785"/>
      <w:bookmarkStart w:id="51" w:name="_Toc86223244"/>
      <w:bookmarkStart w:id="52" w:name="_Toc89163370"/>
      <w:bookmarkStart w:id="53" w:name="_Toc110830494"/>
      <w:bookmarkStart w:id="54" w:name="_Toc110761798"/>
      <w:bookmarkStart w:id="55" w:name="_Toc84234436"/>
      <w:bookmarkStart w:id="56" w:name="_Toc119402712"/>
      <w:bookmarkStart w:id="57" w:name="_Toc86737931"/>
      <w:bookmarkStart w:id="58" w:name="_Toc118774805"/>
      <w:bookmarkStart w:id="59" w:name="_Toc108512360"/>
      <w:bookmarkStart w:id="60" w:name="_Toc86225293"/>
      <w:bookmarkStart w:id="61" w:name="_Toc86204790"/>
      <w:bookmarkStart w:id="62" w:name="_Toc84133787"/>
      <w:bookmarkStart w:id="63" w:name="_Toc164350591"/>
      <w:r>
        <w:rPr>
          <w:rFonts w:ascii="宋体" w:eastAsia="宋体" w:hAnsi="宋体" w:cs="宋体" w:hint="eastAsia"/>
          <w:sz w:val="30"/>
          <w:highlight w:val="white"/>
          <w:lang w:eastAsia="zh-CN"/>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52C6C">
      <w:pPr>
        <w:ind w:firstLine="480"/>
        <w:rPr>
          <w:lang w:eastAsia="zh-CN"/>
        </w:rPr>
      </w:pPr>
      <w:r>
        <w:rPr>
          <w:rFonts w:ascii="宋体" w:hAnsi="宋体" w:cs="宋体"/>
          <w:color w:val="000000"/>
          <w:sz w:val="24"/>
          <w:highlight w:val="white"/>
          <w:lang w:eastAsia="zh-CN"/>
        </w:rPr>
        <w:t>基金管理人在运用基金财产时向基金托管人发送资金划拨及其他款项付款指令，基金托管人执行基金管理人的指令、办理基金名下的资金往来等有关事项。</w:t>
      </w:r>
    </w:p>
    <w:p w:rsidR="00052C6C">
      <w:pPr>
        <w:ind w:firstLine="480"/>
        <w:rPr>
          <w:lang w:eastAsia="zh-CN"/>
        </w:rPr>
      </w:pPr>
      <w:r>
        <w:rPr>
          <w:rFonts w:ascii="宋体" w:hAnsi="宋体" w:cs="宋体"/>
          <w:color w:val="000000"/>
          <w:sz w:val="24"/>
          <w:highlight w:val="white"/>
          <w:lang w:eastAsia="zh-CN"/>
        </w:rPr>
        <w:t>（一）基金管理人对发送指令人员的书面授权</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基金管理人应指定专人向基金托管人发送指令。</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基金管理人应向基金托管人提供书面授权文件，内容包括被授权人名单、预留印鉴及被授权人签字样本，授权文件应注明被授权人相应的权限并加盖公章。</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52C6C">
      <w:pPr>
        <w:ind w:firstLine="480"/>
        <w:rPr>
          <w:lang w:eastAsia="zh-CN"/>
        </w:rPr>
      </w:pPr>
      <w:r>
        <w:rPr>
          <w:rFonts w:ascii="宋体" w:hAnsi="宋体" w:cs="宋体"/>
          <w:color w:val="000000"/>
          <w:sz w:val="24"/>
          <w:highlight w:val="white"/>
          <w:lang w:eastAsia="zh-CN"/>
        </w:rPr>
        <w:t>4.</w:t>
      </w:r>
      <w:r>
        <w:rPr>
          <w:rFonts w:ascii="宋体" w:hAnsi="宋体" w:cs="宋体"/>
          <w:color w:val="000000"/>
          <w:sz w:val="24"/>
          <w:highlight w:val="white"/>
          <w:lang w:eastAsia="zh-CN"/>
        </w:rPr>
        <w:t>基金管理人和基金托管人对授权文件负有保密义务，其内容不得向被授权人及相关操作人员以外的任何人泄露。但法律法规规定或有权机关要求的除外</w:t>
      </w:r>
      <w:r>
        <w:rPr>
          <w:rFonts w:ascii="宋体" w:hAnsi="宋体" w:cs="宋体"/>
          <w:color w:val="000000"/>
          <w:sz w:val="24"/>
          <w:highlight w:val="white"/>
          <w:lang w:eastAsia="zh-CN"/>
        </w:rPr>
        <w:t>。</w:t>
      </w:r>
    </w:p>
    <w:p w:rsidR="00052C6C">
      <w:pPr>
        <w:ind w:firstLine="480"/>
        <w:rPr>
          <w:lang w:eastAsia="zh-CN"/>
        </w:rPr>
      </w:pPr>
      <w:r>
        <w:rPr>
          <w:rFonts w:ascii="宋体" w:hAnsi="宋体" w:cs="宋体"/>
          <w:color w:val="000000"/>
          <w:sz w:val="24"/>
          <w:highlight w:val="white"/>
          <w:lang w:eastAsia="zh-CN"/>
        </w:rPr>
        <w:t>（二）指令的内容</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指令包括付款指令以及其他资金划拨指令等。</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基金管理人发给基金托管人的指令应写明款项事由、支付时间、到账时间、金额、账户等，加盖预留印鉴并由被授权人签字。</w:t>
      </w:r>
    </w:p>
    <w:p w:rsidR="00052C6C">
      <w:pPr>
        <w:ind w:firstLine="480"/>
        <w:rPr>
          <w:lang w:eastAsia="zh-CN"/>
        </w:rPr>
      </w:pPr>
      <w:r>
        <w:rPr>
          <w:rFonts w:ascii="宋体" w:hAnsi="宋体" w:cs="宋体"/>
          <w:color w:val="000000"/>
          <w:sz w:val="24"/>
          <w:highlight w:val="white"/>
          <w:lang w:eastAsia="zh-CN"/>
        </w:rPr>
        <w:t>（三）指令的发送、确认及执行的时间和程序</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指令的发送</w:t>
      </w:r>
    </w:p>
    <w:p w:rsidR="00052C6C">
      <w:pPr>
        <w:ind w:firstLine="480"/>
        <w:rPr>
          <w:lang w:eastAsia="zh-CN"/>
        </w:rPr>
      </w:pPr>
      <w:r>
        <w:rPr>
          <w:rFonts w:ascii="宋体" w:hAnsi="宋体" w:cs="宋体"/>
          <w:color w:val="000000"/>
          <w:sz w:val="24"/>
          <w:highlight w:val="white"/>
          <w:lang w:eastAsia="zh-CN"/>
        </w:rPr>
        <w:t>基金管理人发送指令应采用电子直连方式、加密传真方式或双方协商一致的其他方式。</w:t>
      </w:r>
    </w:p>
    <w:p w:rsidR="00052C6C">
      <w:pPr>
        <w:ind w:firstLine="480"/>
        <w:rPr>
          <w:lang w:eastAsia="zh-CN"/>
        </w:rPr>
      </w:pPr>
      <w:r>
        <w:rPr>
          <w:rFonts w:ascii="宋体" w:hAnsi="宋体" w:cs="宋体"/>
          <w:color w:val="000000"/>
          <w:sz w:val="24"/>
          <w:highlight w:val="white"/>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w:t>
      </w:r>
      <w:r>
        <w:rPr>
          <w:rFonts w:ascii="宋体" w:hAnsi="宋体" w:cs="宋体"/>
          <w:color w:val="000000"/>
          <w:sz w:val="24"/>
          <w:highlight w:val="white"/>
          <w:lang w:eastAsia="zh-CN"/>
        </w:rPr>
        <w:t>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052C6C">
      <w:pPr>
        <w:ind w:firstLine="480"/>
        <w:rPr>
          <w:lang w:eastAsia="zh-CN"/>
        </w:rPr>
      </w:pPr>
      <w:r>
        <w:rPr>
          <w:rFonts w:ascii="宋体" w:hAnsi="宋体" w:cs="宋体"/>
          <w:color w:val="000000"/>
          <w:sz w:val="24"/>
          <w:highlight w:val="white"/>
          <w:lang w:eastAsia="zh-CN"/>
        </w:rPr>
        <w:t>指令发出后，基金管理人应及时以电话方式向基金托管人确认。</w:t>
      </w:r>
    </w:p>
    <w:p w:rsidR="00052C6C">
      <w:pPr>
        <w:ind w:firstLine="480"/>
        <w:rPr>
          <w:lang w:eastAsia="zh-CN"/>
        </w:rPr>
      </w:pPr>
      <w:r>
        <w:rPr>
          <w:rFonts w:ascii="宋体" w:hAnsi="宋体" w:cs="宋体"/>
          <w:color w:val="000000"/>
          <w:sz w:val="24"/>
          <w:highlight w:val="white"/>
          <w:lang w:eastAsia="zh-CN"/>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指令的确认</w:t>
      </w:r>
    </w:p>
    <w:p w:rsidR="00052C6C">
      <w:pPr>
        <w:ind w:firstLine="480"/>
        <w:rPr>
          <w:lang w:eastAsia="zh-CN"/>
        </w:rPr>
      </w:pPr>
      <w:r>
        <w:rPr>
          <w:rFonts w:ascii="宋体" w:hAnsi="宋体" w:cs="宋体"/>
          <w:color w:val="000000"/>
          <w:sz w:val="24"/>
          <w:highlight w:val="white"/>
          <w:lang w:eastAsia="zh-CN"/>
        </w:rPr>
        <w:t>基金托管人应指定专</w:t>
      </w:r>
      <w:r>
        <w:rPr>
          <w:rFonts w:ascii="宋体" w:hAnsi="宋体" w:cs="宋体"/>
          <w:color w:val="000000"/>
          <w:sz w:val="24"/>
          <w:highlight w:val="white"/>
          <w:lang w:eastAsia="zh-CN"/>
        </w:rPr>
        <w:t>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指令的时间和执行</w:t>
      </w:r>
    </w:p>
    <w:p w:rsidR="00052C6C">
      <w:pPr>
        <w:ind w:firstLine="480"/>
        <w:rPr>
          <w:lang w:eastAsia="zh-CN"/>
        </w:rPr>
      </w:pPr>
      <w:r>
        <w:rPr>
          <w:rFonts w:ascii="宋体" w:hAnsi="宋体" w:cs="宋体"/>
          <w:color w:val="000000"/>
          <w:sz w:val="24"/>
          <w:highlight w:val="white"/>
          <w:lang w:eastAsia="zh-CN"/>
        </w:rPr>
        <w:t>基金管理人尽量于划款前</w:t>
      </w:r>
      <w:r>
        <w:rPr>
          <w:rFonts w:ascii="宋体" w:hAnsi="宋体" w:cs="宋体"/>
          <w:color w:val="000000"/>
          <w:sz w:val="24"/>
          <w:highlight w:val="white"/>
          <w:lang w:eastAsia="zh-CN"/>
        </w:rPr>
        <w:t>1</w:t>
      </w:r>
      <w:r>
        <w:rPr>
          <w:rFonts w:ascii="宋体" w:hAnsi="宋体" w:cs="宋体"/>
          <w:color w:val="000000"/>
          <w:sz w:val="24"/>
          <w:highlight w:val="white"/>
          <w:lang w:eastAsia="zh-CN"/>
        </w:rPr>
        <w:t>个工作日向基金托管人发送指令并确认。对于要求当天到账的指令，必须在当天</w:t>
      </w:r>
      <w:r>
        <w:rPr>
          <w:rFonts w:ascii="宋体" w:hAnsi="宋体" w:cs="宋体"/>
          <w:color w:val="000000"/>
          <w:sz w:val="24"/>
          <w:highlight w:val="white"/>
          <w:lang w:eastAsia="zh-CN"/>
        </w:rPr>
        <w:t>15:30</w:t>
      </w:r>
      <w:r>
        <w:rPr>
          <w:rFonts w:ascii="宋体" w:hAnsi="宋体" w:cs="宋体"/>
          <w:color w:val="000000"/>
          <w:sz w:val="24"/>
          <w:highlight w:val="white"/>
          <w:lang w:eastAsia="zh-CN"/>
        </w:rPr>
        <w:t>前向基金托管人发送，</w:t>
      </w:r>
      <w:r>
        <w:rPr>
          <w:rFonts w:ascii="宋体" w:hAnsi="宋体" w:cs="宋体"/>
          <w:color w:val="000000"/>
          <w:sz w:val="24"/>
          <w:highlight w:val="white"/>
          <w:lang w:eastAsia="zh-CN"/>
        </w:rPr>
        <w:t>15:30</w:t>
      </w:r>
      <w:r>
        <w:rPr>
          <w:rFonts w:ascii="宋体" w:hAnsi="宋体" w:cs="宋体"/>
          <w:color w:val="000000"/>
          <w:sz w:val="24"/>
          <w:highlight w:val="white"/>
          <w:lang w:eastAsia="zh-CN"/>
        </w:rPr>
        <w:t>之后发送的，基金托管人尽力执行，但不能保证划账成功。如果要</w:t>
      </w:r>
      <w:r>
        <w:rPr>
          <w:rFonts w:ascii="宋体" w:hAnsi="宋体" w:cs="宋体"/>
          <w:color w:val="000000"/>
          <w:sz w:val="24"/>
          <w:highlight w:val="white"/>
          <w:lang w:eastAsia="zh-CN"/>
        </w:rPr>
        <w:t>求当天某一时点到账的指令，则指令需要提前</w:t>
      </w:r>
      <w:r>
        <w:rPr>
          <w:rFonts w:ascii="宋体" w:hAnsi="宋体" w:cs="宋体"/>
          <w:color w:val="000000"/>
          <w:sz w:val="24"/>
          <w:highlight w:val="white"/>
          <w:lang w:eastAsia="zh-CN"/>
        </w:rPr>
        <w:t>2</w:t>
      </w:r>
      <w:r>
        <w:rPr>
          <w:rFonts w:ascii="宋体" w:hAnsi="宋体" w:cs="宋体"/>
          <w:color w:val="000000"/>
          <w:sz w:val="24"/>
          <w:highlight w:val="white"/>
          <w:lang w:eastAsia="zh-CN"/>
        </w:rPr>
        <w:t>个工作小时发送，并相关付款条件已经具备。基金托管人将视付款条件具备时为指令送达时间。对新股申购网下发行业务，基金管理人应在网下申购缴款日</w:t>
      </w:r>
      <w:r>
        <w:rPr>
          <w:rFonts w:ascii="宋体" w:hAnsi="宋体" w:cs="宋体"/>
          <w:color w:val="000000"/>
          <w:sz w:val="24"/>
          <w:highlight w:val="white"/>
          <w:lang w:eastAsia="zh-CN"/>
        </w:rPr>
        <w:t>(T</w:t>
      </w:r>
      <w:r>
        <w:rPr>
          <w:rFonts w:ascii="宋体" w:hAnsi="宋体" w:cs="宋体"/>
          <w:color w:val="000000"/>
          <w:sz w:val="24"/>
          <w:highlight w:val="white"/>
          <w:lang w:eastAsia="zh-CN"/>
        </w:rPr>
        <w:t>日</w:t>
      </w:r>
      <w:r>
        <w:rPr>
          <w:rFonts w:ascii="宋体" w:hAnsi="宋体" w:cs="宋体"/>
          <w:color w:val="000000"/>
          <w:sz w:val="24"/>
          <w:highlight w:val="white"/>
          <w:lang w:eastAsia="zh-CN"/>
        </w:rPr>
        <w:t>)</w:t>
      </w:r>
      <w:r>
        <w:rPr>
          <w:rFonts w:ascii="宋体" w:hAnsi="宋体" w:cs="宋体"/>
          <w:color w:val="000000"/>
          <w:sz w:val="24"/>
          <w:highlight w:val="white"/>
          <w:lang w:eastAsia="zh-CN"/>
        </w:rPr>
        <w:t>的前一工作日下班前将指令发送给基金托管人，指令发送时间最迟不应晚于</w:t>
      </w:r>
      <w:r>
        <w:rPr>
          <w:rFonts w:ascii="宋体" w:hAnsi="宋体" w:cs="宋体"/>
          <w:color w:val="000000"/>
          <w:sz w:val="24"/>
          <w:highlight w:val="white"/>
          <w:lang w:eastAsia="zh-CN"/>
        </w:rPr>
        <w:t>T</w:t>
      </w:r>
      <w:r>
        <w:rPr>
          <w:rFonts w:ascii="宋体" w:hAnsi="宋体" w:cs="宋体"/>
          <w:color w:val="000000"/>
          <w:sz w:val="24"/>
          <w:highlight w:val="white"/>
          <w:lang w:eastAsia="zh-CN"/>
        </w:rPr>
        <w:t>日上午</w:t>
      </w:r>
      <w:r>
        <w:rPr>
          <w:rFonts w:ascii="宋体" w:hAnsi="宋体" w:cs="宋体"/>
          <w:color w:val="000000"/>
          <w:sz w:val="24"/>
          <w:highlight w:val="white"/>
          <w:lang w:eastAsia="zh-CN"/>
        </w:rPr>
        <w:t>10:00</w:t>
      </w:r>
      <w:r>
        <w:rPr>
          <w:rFonts w:ascii="宋体" w:hAnsi="宋体" w:cs="宋体"/>
          <w:color w:val="000000"/>
          <w:sz w:val="24"/>
          <w:highlight w:val="white"/>
          <w:lang w:eastAsia="zh-CN"/>
        </w:rPr>
        <w:t>。基金管理人应确保基金托管人在执行指令时，基金资金账户有足够的资金余额，在基金资金头寸充足的情况下，基金托管人对基金管理人符合法律法规、《基金合同》、本协议的指令不得拖延或拒绝执行。</w:t>
      </w:r>
    </w:p>
    <w:p w:rsidR="00052C6C">
      <w:pPr>
        <w:ind w:firstLine="480"/>
        <w:rPr>
          <w:lang w:eastAsia="zh-CN"/>
        </w:rPr>
      </w:pPr>
      <w:r>
        <w:rPr>
          <w:rFonts w:ascii="宋体" w:hAnsi="宋体" w:cs="宋体"/>
          <w:color w:val="000000"/>
          <w:sz w:val="24"/>
          <w:highlight w:val="white"/>
          <w:lang w:eastAsia="zh-CN"/>
        </w:rPr>
        <w:t>（四）基金管理人发送错误指令的情形和处理程序</w:t>
      </w:r>
    </w:p>
    <w:p w:rsidR="00052C6C">
      <w:pPr>
        <w:ind w:firstLine="480"/>
        <w:rPr>
          <w:lang w:eastAsia="zh-CN"/>
        </w:rPr>
      </w:pPr>
      <w:r>
        <w:rPr>
          <w:rFonts w:ascii="宋体" w:hAnsi="宋体" w:cs="宋体"/>
          <w:color w:val="000000"/>
          <w:sz w:val="24"/>
          <w:highlight w:val="white"/>
          <w:lang w:eastAsia="zh-CN"/>
        </w:rPr>
        <w:t>基金管理人发送错误指令的情形包括指令违反法律法规和《基金合同》，指令发送人员无权或超越权限发送指令。</w:t>
      </w:r>
    </w:p>
    <w:p w:rsidR="00052C6C">
      <w:pPr>
        <w:ind w:firstLine="480"/>
        <w:rPr>
          <w:lang w:eastAsia="zh-CN"/>
        </w:rPr>
      </w:pPr>
      <w:r>
        <w:rPr>
          <w:rFonts w:ascii="宋体" w:hAnsi="宋体" w:cs="宋体"/>
          <w:color w:val="000000"/>
          <w:sz w:val="24"/>
          <w:highlight w:val="white"/>
          <w:lang w:eastAsia="zh-CN"/>
        </w:rPr>
        <w:t>基金托管人在履行监督职能时，发现基金管理人的指令错误时，有权拒绝执行，并及时通知基金管理人改正。如需撤销指令，基金管理人应出具书面说明，并加盖业务用章。</w:t>
      </w:r>
    </w:p>
    <w:p w:rsidR="00052C6C">
      <w:pPr>
        <w:ind w:firstLine="480"/>
        <w:rPr>
          <w:lang w:eastAsia="zh-CN"/>
        </w:rPr>
      </w:pPr>
      <w:r>
        <w:rPr>
          <w:rFonts w:ascii="宋体" w:hAnsi="宋体" w:cs="宋体"/>
          <w:color w:val="000000"/>
          <w:sz w:val="24"/>
          <w:highlight w:val="white"/>
          <w:lang w:eastAsia="zh-CN"/>
        </w:rPr>
        <w:t>（五）基金托管人依照法律法规暂缓、拒绝执行指令的情形和处理程序</w:t>
      </w:r>
    </w:p>
    <w:p w:rsidR="00052C6C">
      <w:pPr>
        <w:ind w:firstLine="480"/>
        <w:rPr>
          <w:lang w:eastAsia="zh-CN"/>
        </w:rPr>
      </w:pPr>
      <w:r>
        <w:rPr>
          <w:rFonts w:ascii="宋体" w:hAnsi="宋体" w:cs="宋体"/>
          <w:color w:val="000000"/>
          <w:sz w:val="24"/>
          <w:highlight w:val="white"/>
          <w:lang w:eastAsia="zh-CN"/>
        </w:rPr>
        <w:t>若基金托管人发现基金管理人的指令违反法律法规，或者违反《基金合同》约定的，应当拒绝执行，立即通知基金管理人。</w:t>
      </w:r>
    </w:p>
    <w:p w:rsidR="00052C6C">
      <w:pPr>
        <w:ind w:firstLine="480"/>
        <w:rPr>
          <w:lang w:eastAsia="zh-CN"/>
        </w:rPr>
      </w:pPr>
      <w:r>
        <w:rPr>
          <w:rFonts w:ascii="宋体" w:hAnsi="宋体" w:cs="宋体"/>
          <w:color w:val="000000"/>
          <w:sz w:val="24"/>
          <w:highlight w:val="white"/>
          <w:lang w:eastAsia="zh-CN"/>
        </w:rPr>
        <w:t>（六）基金托管人未按照基金管理人指令执行的处理方法</w:t>
      </w:r>
    </w:p>
    <w:p w:rsidR="00052C6C">
      <w:pPr>
        <w:ind w:firstLine="480"/>
        <w:rPr>
          <w:lang w:eastAsia="zh-CN"/>
        </w:rPr>
      </w:pPr>
      <w:r>
        <w:rPr>
          <w:rFonts w:ascii="宋体" w:hAnsi="宋体" w:cs="宋体"/>
          <w:color w:val="000000"/>
          <w:sz w:val="24"/>
          <w:highlight w:val="white"/>
          <w:lang w:eastAsia="zh-CN"/>
        </w:rPr>
        <w:t>基金托管人由于过错，未按照基金</w:t>
      </w:r>
      <w:r>
        <w:rPr>
          <w:rFonts w:ascii="宋体" w:hAnsi="宋体" w:cs="宋体"/>
          <w:color w:val="000000"/>
          <w:sz w:val="24"/>
          <w:highlight w:val="white"/>
          <w:lang w:eastAsia="zh-CN"/>
        </w:rPr>
        <w:t>管理人发送的指令执行并对基金财产或投资人造成的直接损失，由基金托管人赔偿由此造成的直接损失。</w:t>
      </w:r>
    </w:p>
    <w:p w:rsidR="00052C6C">
      <w:pPr>
        <w:ind w:firstLine="480"/>
        <w:rPr>
          <w:lang w:eastAsia="zh-CN"/>
        </w:rPr>
      </w:pPr>
      <w:r>
        <w:rPr>
          <w:rFonts w:ascii="宋体" w:hAnsi="宋体" w:cs="宋体"/>
          <w:color w:val="000000"/>
          <w:sz w:val="24"/>
          <w:highlight w:val="white"/>
          <w:lang w:eastAsia="zh-CN"/>
        </w:rPr>
        <w:t>（七）更换被授权人员的程序</w:t>
      </w:r>
    </w:p>
    <w:p w:rsidR="00052C6C">
      <w:pPr>
        <w:ind w:firstLine="480"/>
        <w:rPr>
          <w:lang w:eastAsia="zh-CN"/>
        </w:rPr>
      </w:pPr>
      <w:r>
        <w:rPr>
          <w:rFonts w:ascii="宋体" w:hAnsi="宋体" w:cs="宋体"/>
          <w:color w:val="000000"/>
          <w:sz w:val="24"/>
          <w:highlight w:val="white"/>
          <w:lang w:eastAsia="zh-CN"/>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Pr>
          <w:rFonts w:ascii="宋体" w:hAnsi="宋体" w:cs="宋体"/>
          <w:color w:val="000000"/>
          <w:sz w:val="24"/>
          <w:highlight w:val="white"/>
          <w:lang w:eastAsia="zh-CN"/>
        </w:rPr>
        <w:t>通过录音电话通知基金管理人。</w:t>
      </w:r>
    </w:p>
    <w:p w:rsidR="00052C6C">
      <w:pPr>
        <w:ind w:firstLine="480"/>
        <w:rPr>
          <w:lang w:eastAsia="zh-CN"/>
        </w:rPr>
      </w:pPr>
      <w:r>
        <w:rPr>
          <w:rFonts w:ascii="宋体" w:hAnsi="宋体" w:cs="宋体"/>
          <w:color w:val="000000"/>
          <w:sz w:val="24"/>
          <w:highlight w:val="white"/>
          <w:lang w:eastAsia="zh-CN"/>
        </w:rPr>
        <w:t>（八）其他事项</w:t>
      </w:r>
    </w:p>
    <w:p w:rsidR="00052C6C">
      <w:pPr>
        <w:ind w:firstLine="480"/>
        <w:rPr>
          <w:lang w:eastAsia="zh-CN"/>
        </w:rPr>
      </w:pPr>
      <w:r>
        <w:rPr>
          <w:rFonts w:ascii="宋体" w:hAnsi="宋体" w:cs="宋体"/>
          <w:color w:val="000000"/>
          <w:sz w:val="24"/>
          <w:highlight w:val="white"/>
          <w:lang w:eastAsia="zh-CN"/>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52C6C" w:rsidP="00855FAF">
      <w:pPr>
        <w:ind w:firstLine="480"/>
        <w:rPr>
          <w:rFonts w:ascii="宋体" w:hAnsi="宋体" w:cs="宋体"/>
          <w:sz w:val="24"/>
          <w:lang w:eastAsia="zh-CN"/>
        </w:rPr>
      </w:pPr>
      <w:r>
        <w:rPr>
          <w:rFonts w:ascii="宋体" w:hAnsi="宋体" w:cs="宋体"/>
          <w:color w:val="000000"/>
          <w:sz w:val="24"/>
          <w:highlight w:val="white"/>
          <w:lang w:eastAsia="zh-CN"/>
        </w:rPr>
        <w:t>基金参与认购未上市债券时，基金管理人应代表本基金与对手方签署相关合同或协议，明确约定债券过户具体事宜。否则，基金管理人需对所认购债券的过户事宜承担相应责任。</w:t>
      </w:r>
    </w:p>
    <w:p w:rsidR="00052C6C">
      <w:pPr>
        <w:snapToGrid w:val="0"/>
        <w:rPr>
          <w:rFonts w:ascii="宋体" w:hAnsi="宋体" w:cs="宋体"/>
          <w:sz w:val="24"/>
          <w:lang w:eastAsia="zh-CN"/>
        </w:rPr>
      </w:pPr>
    </w:p>
    <w:p w:rsidR="00052C6C">
      <w:pPr>
        <w:pStyle w:val="21"/>
        <w:jc w:val="center"/>
        <w:rPr>
          <w:rFonts w:ascii="宋体" w:eastAsia="宋体" w:hAnsi="宋体" w:cs="宋体"/>
          <w:sz w:val="30"/>
        </w:rPr>
      </w:pPr>
      <w:bookmarkStart w:id="64" w:name="_Toc118972651"/>
      <w:bookmarkStart w:id="65" w:name="_Toc84234390"/>
      <w:bookmarkStart w:id="66" w:name="_Toc86223245"/>
      <w:bookmarkStart w:id="67" w:name="_Toc108512361"/>
      <w:bookmarkStart w:id="68" w:name="_Toc110765663"/>
      <w:bookmarkStart w:id="69" w:name="_Toc118212953"/>
      <w:bookmarkStart w:id="70" w:name="_Toc89163371"/>
      <w:bookmarkStart w:id="71" w:name="_Toc86649725"/>
      <w:bookmarkStart w:id="72" w:name="_Toc86225294"/>
      <w:bookmarkStart w:id="73" w:name="_Toc118774806"/>
      <w:bookmarkStart w:id="74" w:name="_Toc110761799"/>
      <w:bookmarkStart w:id="75" w:name="_Toc119402713"/>
      <w:bookmarkStart w:id="76" w:name="_Toc84234437"/>
      <w:bookmarkStart w:id="77" w:name="_Toc120435786"/>
      <w:bookmarkStart w:id="78" w:name="_Toc110830495"/>
      <w:bookmarkStart w:id="79" w:name="_Toc84133788"/>
      <w:bookmarkStart w:id="80" w:name="_Toc86726442"/>
      <w:bookmarkStart w:id="81" w:name="_Toc86737932"/>
      <w:bookmarkStart w:id="82" w:name="_Toc86204791"/>
      <w:bookmarkStart w:id="83" w:name="_Toc86727358"/>
      <w:bookmarkStart w:id="84" w:name="_Toc164350592"/>
      <w:r>
        <w:rPr>
          <w:rFonts w:ascii="宋体" w:eastAsia="宋体" w:hAnsi="宋体" w:cs="宋体" w:hint="eastAsia"/>
          <w:sz w:val="30"/>
          <w:highlight w:val="white"/>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52C6C">
      <w:pPr>
        <w:ind w:firstLine="480"/>
        <w:rPr>
          <w:lang w:eastAsia="zh-CN"/>
        </w:rPr>
      </w:pPr>
      <w:r>
        <w:rPr>
          <w:rFonts w:ascii="宋体" w:hAnsi="宋体" w:cs="宋体"/>
          <w:color w:val="000000"/>
          <w:sz w:val="24"/>
          <w:highlight w:val="white"/>
          <w:lang w:eastAsia="zh-CN"/>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052C6C">
      <w:pPr>
        <w:ind w:firstLine="480"/>
        <w:rPr>
          <w:lang w:eastAsia="zh-CN"/>
        </w:rPr>
      </w:pPr>
      <w:r>
        <w:rPr>
          <w:rFonts w:ascii="宋体" w:hAnsi="宋体" w:cs="宋体"/>
          <w:color w:val="000000"/>
          <w:sz w:val="24"/>
          <w:highlight w:val="white"/>
          <w:lang w:eastAsia="zh-CN"/>
        </w:rPr>
        <w:t>基金管理人、基金托管人应遵守本合同下述（一）和（二）之约定。</w:t>
      </w:r>
    </w:p>
    <w:p w:rsidR="00052C6C">
      <w:pPr>
        <w:ind w:firstLine="480"/>
        <w:rPr>
          <w:lang w:eastAsia="zh-CN"/>
        </w:rPr>
      </w:pPr>
      <w:r>
        <w:rPr>
          <w:rFonts w:ascii="宋体" w:hAnsi="宋体" w:cs="宋体"/>
          <w:color w:val="000000"/>
          <w:sz w:val="24"/>
          <w:highlight w:val="white"/>
          <w:lang w:eastAsia="zh-CN"/>
        </w:rPr>
        <w:t>（一）选择证券买卖的证券经营机构</w:t>
      </w:r>
    </w:p>
    <w:p w:rsidR="00052C6C">
      <w:pPr>
        <w:ind w:firstLine="480"/>
        <w:rPr>
          <w:lang w:eastAsia="zh-CN"/>
        </w:rPr>
      </w:pPr>
      <w:r>
        <w:rPr>
          <w:rFonts w:ascii="宋体" w:hAnsi="宋体" w:cs="宋体"/>
          <w:color w:val="000000"/>
          <w:sz w:val="24"/>
          <w:highlight w:val="white"/>
          <w:lang w:eastAsia="zh-CN"/>
        </w:rPr>
        <w:t>基金管理人应设计选择证券买卖的证券经营机构的标准和程序。基金管理人负责选择证券经营机构，租用其交易单元作为基金的专用交易单元。基金</w:t>
      </w:r>
      <w:r>
        <w:rPr>
          <w:rFonts w:ascii="宋体" w:hAnsi="宋体" w:cs="宋体"/>
          <w:color w:val="000000"/>
          <w:sz w:val="24"/>
          <w:highlight w:val="white"/>
          <w:lang w:eastAsia="zh-CN"/>
        </w:rPr>
        <w:t>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052C6C">
      <w:pPr>
        <w:ind w:firstLine="480"/>
        <w:rPr>
          <w:lang w:eastAsia="zh-CN"/>
        </w:rPr>
      </w:pPr>
      <w:r>
        <w:rPr>
          <w:rFonts w:ascii="宋体" w:hAnsi="宋体" w:cs="宋体"/>
          <w:color w:val="000000"/>
          <w:sz w:val="24"/>
          <w:highlight w:val="white"/>
          <w:lang w:eastAsia="zh-CN"/>
        </w:rPr>
        <w:t>（二）基金投资证券后的清算交收安排</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结算备付金与保证金</w:t>
      </w:r>
    </w:p>
    <w:p w:rsidR="00052C6C">
      <w:pPr>
        <w:ind w:firstLine="480"/>
        <w:rPr>
          <w:lang w:eastAsia="zh-CN"/>
        </w:rPr>
      </w:pPr>
      <w:r>
        <w:rPr>
          <w:rFonts w:ascii="宋体" w:hAnsi="宋体" w:cs="宋体"/>
          <w:color w:val="000000"/>
          <w:sz w:val="24"/>
          <w:highlight w:val="white"/>
          <w:lang w:eastAsia="zh-CN"/>
        </w:rPr>
        <w:t>中国证券登记结算有限责任公司分别于每月前</w:t>
      </w:r>
      <w:r>
        <w:rPr>
          <w:rFonts w:ascii="宋体" w:hAnsi="宋体" w:cs="宋体"/>
          <w:color w:val="000000"/>
          <w:sz w:val="24"/>
          <w:highlight w:val="white"/>
          <w:lang w:eastAsia="zh-CN"/>
        </w:rPr>
        <w:t>6</w:t>
      </w:r>
      <w:r>
        <w:rPr>
          <w:rFonts w:ascii="宋体" w:hAnsi="宋体" w:cs="宋体"/>
          <w:color w:val="000000"/>
          <w:sz w:val="24"/>
          <w:highlight w:val="white"/>
          <w:lang w:eastAsia="zh-CN"/>
        </w:rPr>
        <w:t>个交易日及每月前</w:t>
      </w:r>
      <w:r>
        <w:rPr>
          <w:rFonts w:ascii="宋体" w:hAnsi="宋体" w:cs="宋体"/>
          <w:color w:val="000000"/>
          <w:sz w:val="24"/>
          <w:highlight w:val="white"/>
          <w:lang w:eastAsia="zh-CN"/>
        </w:rPr>
        <w:t>3</w:t>
      </w:r>
      <w:r>
        <w:rPr>
          <w:rFonts w:ascii="宋体" w:hAnsi="宋体" w:cs="宋体"/>
          <w:color w:val="000000"/>
          <w:sz w:val="24"/>
          <w:highlight w:val="white"/>
          <w:lang w:eastAsia="zh-CN"/>
        </w:rPr>
        <w:t>个交易日内，对结算参与人最低备付金限额与结算保证金</w:t>
      </w:r>
      <w:r>
        <w:rPr>
          <w:rFonts w:ascii="宋体" w:hAnsi="宋体" w:cs="宋体"/>
          <w:color w:val="000000"/>
          <w:sz w:val="24"/>
          <w:highlight w:val="white"/>
          <w:lang w:eastAsia="zh-CN"/>
        </w:rPr>
        <w:t>限额进行重新核算、调整。基金托管人应分别于每月前</w:t>
      </w:r>
      <w:r>
        <w:rPr>
          <w:rFonts w:ascii="宋体" w:hAnsi="宋体" w:cs="宋体"/>
          <w:color w:val="000000"/>
          <w:sz w:val="24"/>
          <w:highlight w:val="white"/>
          <w:lang w:eastAsia="zh-CN"/>
        </w:rPr>
        <w:t>3</w:t>
      </w:r>
      <w:r>
        <w:rPr>
          <w:rFonts w:ascii="宋体" w:hAnsi="宋体" w:cs="宋体"/>
          <w:color w:val="000000"/>
          <w:sz w:val="24"/>
          <w:highlight w:val="white"/>
          <w:lang w:eastAsia="zh-CN"/>
        </w:rPr>
        <w:t>个交易日内及结算保证金调整当日通过《资金账户报告》通知基金管理人本基金最低备付金调整金额以及调整后的结算保证金金额。</w:t>
      </w:r>
    </w:p>
    <w:p w:rsidR="00052C6C">
      <w:pPr>
        <w:ind w:firstLine="480"/>
        <w:rPr>
          <w:lang w:eastAsia="zh-CN"/>
        </w:rPr>
      </w:pPr>
      <w:r>
        <w:rPr>
          <w:rFonts w:ascii="宋体" w:hAnsi="宋体" w:cs="宋体"/>
          <w:color w:val="000000"/>
          <w:sz w:val="24"/>
          <w:highlight w:val="white"/>
          <w:lang w:eastAsia="zh-CN"/>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1</w:t>
      </w:r>
      <w:r>
        <w:rPr>
          <w:rFonts w:ascii="宋体" w:hAnsi="宋体" w:cs="宋体"/>
          <w:color w:val="000000"/>
          <w:sz w:val="24"/>
          <w:highlight w:val="white"/>
          <w:lang w:eastAsia="zh-CN"/>
        </w:rPr>
        <w:t>）固定备付金比例计收方式下，基金管理人应在调整最低备付金、结算保证金</w:t>
      </w:r>
      <w:r>
        <w:rPr>
          <w:rFonts w:ascii="宋体" w:hAnsi="宋体" w:cs="宋体"/>
          <w:color w:val="000000"/>
          <w:sz w:val="24"/>
          <w:highlight w:val="white"/>
          <w:lang w:eastAsia="zh-CN"/>
        </w:rPr>
        <w:t>当日上午</w:t>
      </w:r>
      <w:r>
        <w:rPr>
          <w:rFonts w:ascii="宋体" w:hAnsi="宋体" w:cs="宋体"/>
          <w:color w:val="000000"/>
          <w:sz w:val="24"/>
          <w:highlight w:val="white"/>
          <w:lang w:eastAsia="zh-CN"/>
        </w:rPr>
        <w:t>11</w:t>
      </w:r>
      <w:r>
        <w:rPr>
          <w:rFonts w:ascii="宋体" w:hAnsi="宋体" w:cs="宋体"/>
          <w:color w:val="000000"/>
          <w:sz w:val="24"/>
          <w:highlight w:val="white"/>
          <w:lang w:eastAsia="zh-CN"/>
        </w:rPr>
        <w:t>：</w:t>
      </w:r>
      <w:r>
        <w:rPr>
          <w:rFonts w:ascii="宋体" w:hAnsi="宋体" w:cs="宋体"/>
          <w:color w:val="000000"/>
          <w:sz w:val="24"/>
          <w:highlight w:val="white"/>
          <w:lang w:eastAsia="zh-CN"/>
        </w:rPr>
        <w:t>00</w:t>
      </w:r>
      <w:r>
        <w:rPr>
          <w:rFonts w:ascii="宋体" w:hAnsi="宋体" w:cs="宋体"/>
          <w:color w:val="000000"/>
          <w:sz w:val="24"/>
          <w:highlight w:val="white"/>
          <w:lang w:eastAsia="zh-CN"/>
        </w:rPr>
        <w:t>之前补足金额。</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2</w:t>
      </w:r>
      <w:r>
        <w:rPr>
          <w:rFonts w:ascii="宋体" w:hAnsi="宋体" w:cs="宋体"/>
          <w:color w:val="000000"/>
          <w:sz w:val="24"/>
          <w:highlight w:val="white"/>
          <w:lang w:eastAsia="zh-CN"/>
        </w:rPr>
        <w:t>）差异化备付金比例计收方式下，基金管理人应最晚于资金交收日上午</w:t>
      </w:r>
      <w:r>
        <w:rPr>
          <w:rFonts w:ascii="宋体" w:hAnsi="宋体" w:cs="宋体"/>
          <w:color w:val="000000"/>
          <w:sz w:val="24"/>
          <w:highlight w:val="white"/>
          <w:lang w:eastAsia="zh-CN"/>
        </w:rPr>
        <w:t>8</w:t>
      </w:r>
      <w:r>
        <w:rPr>
          <w:rFonts w:ascii="宋体" w:hAnsi="宋体" w:cs="宋体"/>
          <w:color w:val="000000"/>
          <w:sz w:val="24"/>
          <w:highlight w:val="white"/>
          <w:lang w:eastAsia="zh-CN"/>
        </w:rPr>
        <w:t>：</w:t>
      </w:r>
      <w:r>
        <w:rPr>
          <w:rFonts w:ascii="宋体" w:hAnsi="宋体" w:cs="宋体"/>
          <w:color w:val="000000"/>
          <w:sz w:val="24"/>
          <w:highlight w:val="white"/>
          <w:lang w:eastAsia="zh-CN"/>
        </w:rPr>
        <w:t>30</w:t>
      </w:r>
      <w:r>
        <w:rPr>
          <w:rFonts w:ascii="宋体" w:hAnsi="宋体" w:cs="宋体"/>
          <w:color w:val="000000"/>
          <w:sz w:val="24"/>
          <w:highlight w:val="white"/>
          <w:lang w:eastAsia="zh-CN"/>
        </w:rPr>
        <w:t>前补足金额。如果资金交收日上午</w:t>
      </w:r>
      <w:r>
        <w:rPr>
          <w:rFonts w:ascii="宋体" w:hAnsi="宋体" w:cs="宋体"/>
          <w:color w:val="000000"/>
          <w:sz w:val="24"/>
          <w:highlight w:val="white"/>
          <w:lang w:eastAsia="zh-CN"/>
        </w:rPr>
        <w:t>8</w:t>
      </w:r>
      <w:r>
        <w:rPr>
          <w:rFonts w:ascii="宋体" w:hAnsi="宋体" w:cs="宋体"/>
          <w:color w:val="000000"/>
          <w:sz w:val="24"/>
          <w:highlight w:val="white"/>
          <w:lang w:eastAsia="zh-CN"/>
        </w:rPr>
        <w:t>：</w:t>
      </w:r>
      <w:r>
        <w:rPr>
          <w:rFonts w:ascii="宋体" w:hAnsi="宋体" w:cs="宋体"/>
          <w:color w:val="000000"/>
          <w:sz w:val="24"/>
          <w:highlight w:val="white"/>
          <w:lang w:eastAsia="zh-CN"/>
        </w:rPr>
        <w:t>30</w:t>
      </w:r>
      <w:r>
        <w:rPr>
          <w:rFonts w:ascii="宋体" w:hAnsi="宋体" w:cs="宋体"/>
          <w:color w:val="000000"/>
          <w:sz w:val="24"/>
          <w:highlight w:val="white"/>
          <w:lang w:eastAsia="zh-CN"/>
        </w:rPr>
        <w:t>之前未到账，结算参与人有权按照中国证券登记结算有限责任公司的规则上调该产品的备付金比例。</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清算交收</w:t>
      </w:r>
    </w:p>
    <w:p w:rsidR="00052C6C">
      <w:pPr>
        <w:ind w:firstLine="480"/>
        <w:rPr>
          <w:lang w:eastAsia="zh-CN"/>
        </w:rPr>
      </w:pPr>
      <w:r>
        <w:rPr>
          <w:rFonts w:ascii="宋体" w:hAnsi="宋体" w:cs="宋体"/>
          <w:color w:val="000000"/>
          <w:sz w:val="24"/>
          <w:highlight w:val="white"/>
          <w:lang w:eastAsia="zh-CN"/>
        </w:rPr>
        <w:t>基金托管人负责基金买卖证券的清算交收。场内资金结算由基金托管人根据中国证券登记结算有限责任公司结算数据办理；场外资金汇划由基金托管人根据基金管理人的交易划款指令具体办理。</w:t>
      </w:r>
    </w:p>
    <w:p w:rsidR="00052C6C">
      <w:pPr>
        <w:ind w:firstLine="480"/>
        <w:rPr>
          <w:lang w:eastAsia="zh-CN"/>
        </w:rPr>
      </w:pPr>
      <w:r>
        <w:rPr>
          <w:rFonts w:ascii="宋体" w:hAnsi="宋体" w:cs="宋体"/>
          <w:color w:val="000000"/>
          <w:sz w:val="24"/>
          <w:highlight w:val="white"/>
          <w:lang w:eastAsia="zh-CN"/>
        </w:rPr>
        <w:t>如果因为基金托管人过错在清算上造成基金财产的直接损失，应由基金托管人负责赔偿，但因中国人民</w:t>
      </w:r>
      <w:r>
        <w:rPr>
          <w:rFonts w:ascii="宋体" w:hAnsi="宋体" w:cs="宋体"/>
          <w:color w:val="000000"/>
          <w:sz w:val="24"/>
          <w:highlight w:val="white"/>
          <w:lang w:eastAsia="zh-CN"/>
        </w:rPr>
        <w:t>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w:t>
      </w:r>
      <w:r>
        <w:rPr>
          <w:rFonts w:ascii="宋体" w:hAnsi="宋体" w:cs="宋体"/>
          <w:color w:val="000000"/>
          <w:sz w:val="24"/>
          <w:highlight w:val="white"/>
          <w:lang w:eastAsia="zh-CN"/>
        </w:rPr>
        <w:t>事项，基金管理人应保持联系方式畅通，后续补缴等事宜由基金管理人负责解决，由基金管理人按照其与基金托管人签署的《托管银行证券资金结算协议》的约定承担相关责任。</w:t>
      </w:r>
    </w:p>
    <w:p w:rsidR="00052C6C">
      <w:pPr>
        <w:ind w:firstLine="480"/>
        <w:rPr>
          <w:lang w:eastAsia="zh-CN"/>
        </w:rPr>
      </w:pPr>
      <w:r>
        <w:rPr>
          <w:rFonts w:ascii="宋体" w:hAnsi="宋体" w:cs="宋体"/>
          <w:color w:val="000000"/>
          <w:sz w:val="24"/>
          <w:highlight w:val="white"/>
          <w:lang w:eastAsia="zh-CN"/>
        </w:rPr>
        <w:t>基金管理人应采取合理、必要措施，确保</w:t>
      </w:r>
      <w:r>
        <w:rPr>
          <w:rFonts w:ascii="宋体" w:hAnsi="宋体" w:cs="宋体"/>
          <w:color w:val="000000"/>
          <w:sz w:val="24"/>
          <w:highlight w:val="white"/>
          <w:lang w:eastAsia="zh-CN"/>
        </w:rPr>
        <w:t>T</w:t>
      </w:r>
      <w:r>
        <w:rPr>
          <w:rFonts w:ascii="宋体" w:hAnsi="宋体" w:cs="宋体"/>
          <w:color w:val="000000"/>
          <w:sz w:val="24"/>
          <w:highlight w:val="white"/>
          <w:lang w:eastAsia="zh-CN"/>
        </w:rPr>
        <w:t>日日终有足够的资金头寸完成</w:t>
      </w:r>
      <w:r>
        <w:rPr>
          <w:rFonts w:ascii="宋体" w:hAnsi="宋体" w:cs="宋体"/>
          <w:color w:val="000000"/>
          <w:sz w:val="24"/>
          <w:highlight w:val="white"/>
          <w:lang w:eastAsia="zh-CN"/>
        </w:rPr>
        <w:t xml:space="preserve"> T+1</w:t>
      </w:r>
      <w:r>
        <w:rPr>
          <w:rFonts w:ascii="宋体" w:hAnsi="宋体" w:cs="宋体"/>
          <w:color w:val="000000"/>
          <w:sz w:val="24"/>
          <w:highlight w:val="white"/>
          <w:lang w:eastAsia="zh-CN"/>
        </w:rPr>
        <w:t>日中国证券登记结算有限责任公司的资金交收；如因基金管理人原因导致资金头寸不足，基金管理人应视基金托管人最低结算备付金比例计收方式分别于下列时点补足透支金额：</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1</w:t>
      </w:r>
      <w:r>
        <w:rPr>
          <w:rFonts w:ascii="宋体" w:hAnsi="宋体" w:cs="宋体"/>
          <w:color w:val="000000"/>
          <w:sz w:val="24"/>
          <w:highlight w:val="white"/>
          <w:lang w:eastAsia="zh-CN"/>
        </w:rPr>
        <w:t>）固定备付金比例计收方式下，基金管理人应最晚于资金交收日上午</w:t>
      </w:r>
      <w:r>
        <w:rPr>
          <w:rFonts w:ascii="宋体" w:hAnsi="宋体" w:cs="宋体"/>
          <w:color w:val="000000"/>
          <w:sz w:val="24"/>
          <w:highlight w:val="white"/>
          <w:lang w:eastAsia="zh-CN"/>
        </w:rPr>
        <w:t>11</w:t>
      </w:r>
      <w:r>
        <w:rPr>
          <w:rFonts w:ascii="宋体" w:hAnsi="宋体" w:cs="宋体"/>
          <w:color w:val="000000"/>
          <w:sz w:val="24"/>
          <w:highlight w:val="white"/>
          <w:lang w:eastAsia="zh-CN"/>
        </w:rPr>
        <w:t>：</w:t>
      </w:r>
      <w:r>
        <w:rPr>
          <w:rFonts w:ascii="宋体" w:hAnsi="宋体" w:cs="宋体"/>
          <w:color w:val="000000"/>
          <w:sz w:val="24"/>
          <w:highlight w:val="white"/>
          <w:lang w:eastAsia="zh-CN"/>
        </w:rPr>
        <w:t>00</w:t>
      </w:r>
      <w:r>
        <w:rPr>
          <w:rFonts w:ascii="宋体" w:hAnsi="宋体" w:cs="宋体"/>
          <w:color w:val="000000"/>
          <w:sz w:val="24"/>
          <w:highlight w:val="white"/>
          <w:lang w:eastAsia="zh-CN"/>
        </w:rPr>
        <w:t>前补足金额。</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2</w:t>
      </w:r>
      <w:r>
        <w:rPr>
          <w:rFonts w:ascii="宋体" w:hAnsi="宋体" w:cs="宋体"/>
          <w:color w:val="000000"/>
          <w:sz w:val="24"/>
          <w:highlight w:val="white"/>
          <w:lang w:eastAsia="zh-CN"/>
        </w:rPr>
        <w:t>）差异化备付金比例计收方式下，基金管理人应最晚于资金交收日上午</w:t>
      </w:r>
      <w:r>
        <w:rPr>
          <w:rFonts w:ascii="宋体" w:hAnsi="宋体" w:cs="宋体"/>
          <w:color w:val="000000"/>
          <w:sz w:val="24"/>
          <w:highlight w:val="white"/>
          <w:lang w:eastAsia="zh-CN"/>
        </w:rPr>
        <w:t>8</w:t>
      </w:r>
      <w:r>
        <w:rPr>
          <w:rFonts w:ascii="宋体" w:hAnsi="宋体" w:cs="宋体"/>
          <w:color w:val="000000"/>
          <w:sz w:val="24"/>
          <w:highlight w:val="white"/>
          <w:lang w:eastAsia="zh-CN"/>
        </w:rPr>
        <w:t>：</w:t>
      </w:r>
      <w:r>
        <w:rPr>
          <w:rFonts w:ascii="宋体" w:hAnsi="宋体" w:cs="宋体"/>
          <w:color w:val="000000"/>
          <w:sz w:val="24"/>
          <w:highlight w:val="white"/>
          <w:lang w:eastAsia="zh-CN"/>
        </w:rPr>
        <w:t>30</w:t>
      </w:r>
      <w:r>
        <w:rPr>
          <w:rFonts w:ascii="宋体" w:hAnsi="宋体" w:cs="宋体"/>
          <w:color w:val="000000"/>
          <w:sz w:val="24"/>
          <w:highlight w:val="white"/>
          <w:lang w:eastAsia="zh-CN"/>
        </w:rPr>
        <w:t>前补足金额。如果资金交收日上午</w:t>
      </w:r>
      <w:r>
        <w:rPr>
          <w:rFonts w:ascii="宋体" w:hAnsi="宋体" w:cs="宋体"/>
          <w:color w:val="000000"/>
          <w:sz w:val="24"/>
          <w:highlight w:val="white"/>
          <w:lang w:eastAsia="zh-CN"/>
        </w:rPr>
        <w:t>8</w:t>
      </w:r>
      <w:r>
        <w:rPr>
          <w:rFonts w:ascii="宋体" w:hAnsi="宋体" w:cs="宋体"/>
          <w:color w:val="000000"/>
          <w:sz w:val="24"/>
          <w:highlight w:val="white"/>
          <w:lang w:eastAsia="zh-CN"/>
        </w:rPr>
        <w:t>：</w:t>
      </w:r>
      <w:r>
        <w:rPr>
          <w:rFonts w:ascii="宋体" w:hAnsi="宋体" w:cs="宋体"/>
          <w:color w:val="000000"/>
          <w:sz w:val="24"/>
          <w:highlight w:val="white"/>
          <w:lang w:eastAsia="zh-CN"/>
        </w:rPr>
        <w:t>30</w:t>
      </w:r>
      <w:r>
        <w:rPr>
          <w:rFonts w:ascii="宋体" w:hAnsi="宋体" w:cs="宋体"/>
          <w:color w:val="000000"/>
          <w:sz w:val="24"/>
          <w:highlight w:val="white"/>
          <w:lang w:eastAsia="zh-CN"/>
        </w:rPr>
        <w:t>之前未到账，结算参与人有权按照中国证券登记结算有限责任公司的规则上调该产品的备付金比例。</w:t>
      </w:r>
    </w:p>
    <w:p w:rsidR="00052C6C">
      <w:pPr>
        <w:ind w:firstLine="480"/>
        <w:rPr>
          <w:lang w:eastAsia="zh-CN"/>
        </w:rPr>
      </w:pPr>
      <w:r>
        <w:rPr>
          <w:rFonts w:ascii="宋体" w:hAnsi="宋体" w:cs="宋体"/>
          <w:color w:val="000000"/>
          <w:sz w:val="24"/>
          <w:highlight w:val="white"/>
          <w:lang w:eastAsia="zh-CN"/>
        </w:rPr>
        <w:t>如果基金管理人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p>
    <w:p w:rsidR="00052C6C">
      <w:pPr>
        <w:ind w:firstLine="480"/>
        <w:rPr>
          <w:lang w:eastAsia="zh-CN"/>
        </w:rPr>
      </w:pPr>
      <w:r>
        <w:rPr>
          <w:rFonts w:ascii="宋体" w:hAnsi="宋体" w:cs="宋体"/>
          <w:color w:val="000000"/>
          <w:sz w:val="24"/>
          <w:highlight w:val="white"/>
          <w:lang w:eastAsia="zh-CN"/>
        </w:rPr>
        <w:t>根据中国证券登记结算有限责任公司结算规定，基金管理人在进行融资回购业务时，用于融资回购的债券将作为偿还</w:t>
      </w:r>
      <w:r>
        <w:rPr>
          <w:rFonts w:ascii="宋体" w:hAnsi="宋体" w:cs="宋体"/>
          <w:color w:val="000000"/>
          <w:sz w:val="24"/>
          <w:highlight w:val="white"/>
          <w:lang w:eastAsia="zh-CN"/>
        </w:rPr>
        <w:t>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52C6C">
      <w:pPr>
        <w:ind w:firstLine="480"/>
        <w:rPr>
          <w:lang w:eastAsia="zh-CN"/>
        </w:rPr>
      </w:pPr>
      <w:r>
        <w:rPr>
          <w:rFonts w:ascii="宋体" w:hAnsi="宋体" w:cs="宋体"/>
          <w:color w:val="000000"/>
          <w:sz w:val="24"/>
          <w:highlight w:val="white"/>
          <w:lang w:eastAsia="zh-CN"/>
        </w:rPr>
        <w:t>对于中国证券登记结算有限责任公司实行</w:t>
      </w:r>
      <w:r>
        <w:rPr>
          <w:rFonts w:ascii="宋体" w:hAnsi="宋体" w:cs="宋体"/>
          <w:color w:val="000000"/>
          <w:sz w:val="24"/>
          <w:highlight w:val="white"/>
          <w:lang w:eastAsia="zh-CN"/>
        </w:rPr>
        <w:t>T+0</w:t>
      </w:r>
      <w:r>
        <w:rPr>
          <w:rFonts w:ascii="宋体" w:hAnsi="宋体" w:cs="宋体"/>
          <w:color w:val="000000"/>
          <w:sz w:val="24"/>
          <w:highlight w:val="white"/>
          <w:lang w:eastAsia="zh-CN"/>
        </w:rPr>
        <w:t>非担保交收的业务，基金管理人应在交易日</w:t>
      </w:r>
      <w:r>
        <w:rPr>
          <w:rFonts w:ascii="宋体" w:hAnsi="宋体" w:cs="宋体"/>
          <w:color w:val="000000"/>
          <w:sz w:val="24"/>
          <w:highlight w:val="white"/>
          <w:lang w:eastAsia="zh-CN"/>
        </w:rPr>
        <w:t>14:00</w:t>
      </w:r>
      <w:r>
        <w:rPr>
          <w:rFonts w:ascii="宋体" w:hAnsi="宋体" w:cs="宋体"/>
          <w:color w:val="000000"/>
          <w:sz w:val="24"/>
          <w:highlight w:val="white"/>
          <w:lang w:eastAsia="zh-CN"/>
        </w:rPr>
        <w:t>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交易记录</w:t>
      </w:r>
      <w:r>
        <w:rPr>
          <w:rFonts w:ascii="宋体" w:hAnsi="宋体" w:cs="宋体"/>
          <w:color w:val="000000"/>
          <w:sz w:val="24"/>
          <w:highlight w:val="white"/>
          <w:lang w:eastAsia="zh-CN"/>
        </w:rPr>
        <w:t>、资金和证券</w:t>
      </w:r>
      <w:r>
        <w:rPr>
          <w:rFonts w:ascii="宋体" w:hAnsi="宋体" w:cs="宋体"/>
          <w:color w:val="000000"/>
          <w:sz w:val="24"/>
          <w:highlight w:val="white"/>
          <w:lang w:eastAsia="zh-CN"/>
        </w:rPr>
        <w:t>/</w:t>
      </w:r>
      <w:r>
        <w:rPr>
          <w:rFonts w:ascii="宋体" w:hAnsi="宋体" w:cs="宋体"/>
          <w:color w:val="000000"/>
          <w:sz w:val="24"/>
          <w:highlight w:val="white"/>
          <w:lang w:eastAsia="zh-CN"/>
        </w:rPr>
        <w:t>期货账目核对的时间和方式</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1</w:t>
      </w:r>
      <w:r>
        <w:rPr>
          <w:rFonts w:ascii="宋体" w:hAnsi="宋体" w:cs="宋体"/>
          <w:color w:val="000000"/>
          <w:sz w:val="24"/>
          <w:highlight w:val="white"/>
          <w:lang w:eastAsia="zh-CN"/>
        </w:rPr>
        <w:t>）交易记录的核对</w:t>
      </w:r>
    </w:p>
    <w:p w:rsidR="00052C6C">
      <w:pPr>
        <w:ind w:firstLine="480"/>
        <w:rPr>
          <w:lang w:eastAsia="zh-CN"/>
        </w:rPr>
      </w:pPr>
      <w:r>
        <w:rPr>
          <w:rFonts w:ascii="宋体" w:hAnsi="宋体" w:cs="宋体"/>
          <w:color w:val="000000"/>
          <w:sz w:val="24"/>
          <w:highlight w:val="white"/>
          <w:lang w:eastAsia="zh-CN"/>
        </w:rPr>
        <w:t>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2</w:t>
      </w:r>
      <w:r>
        <w:rPr>
          <w:rFonts w:ascii="宋体" w:hAnsi="宋体" w:cs="宋体"/>
          <w:color w:val="000000"/>
          <w:sz w:val="24"/>
          <w:highlight w:val="white"/>
          <w:lang w:eastAsia="zh-CN"/>
        </w:rPr>
        <w:t>）资金账目的核对</w:t>
      </w:r>
    </w:p>
    <w:p w:rsidR="00052C6C">
      <w:pPr>
        <w:ind w:firstLine="480"/>
        <w:rPr>
          <w:lang w:eastAsia="zh-CN"/>
        </w:rPr>
      </w:pPr>
      <w:r>
        <w:rPr>
          <w:rFonts w:ascii="宋体" w:hAnsi="宋体" w:cs="宋体"/>
          <w:color w:val="000000"/>
          <w:sz w:val="24"/>
          <w:highlight w:val="white"/>
          <w:lang w:eastAsia="zh-CN"/>
        </w:rPr>
        <w:t>基金管理人和基金托管人资金账目按日核实。</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3</w:t>
      </w:r>
      <w:r>
        <w:rPr>
          <w:rFonts w:ascii="宋体" w:hAnsi="宋体" w:cs="宋体"/>
          <w:color w:val="000000"/>
          <w:sz w:val="24"/>
          <w:highlight w:val="white"/>
          <w:lang w:eastAsia="zh-CN"/>
        </w:rPr>
        <w:t>）证券</w:t>
      </w:r>
      <w:r>
        <w:rPr>
          <w:rFonts w:ascii="宋体" w:hAnsi="宋体" w:cs="宋体"/>
          <w:color w:val="000000"/>
          <w:sz w:val="24"/>
          <w:highlight w:val="white"/>
          <w:lang w:eastAsia="zh-CN"/>
        </w:rPr>
        <w:t>/</w:t>
      </w:r>
      <w:r>
        <w:rPr>
          <w:rFonts w:ascii="宋体" w:hAnsi="宋体" w:cs="宋体"/>
          <w:color w:val="000000"/>
          <w:sz w:val="24"/>
          <w:highlight w:val="white"/>
          <w:lang w:eastAsia="zh-CN"/>
        </w:rPr>
        <w:t>期货账目的核对</w:t>
      </w:r>
    </w:p>
    <w:p w:rsidR="00052C6C">
      <w:pPr>
        <w:ind w:firstLine="480"/>
        <w:rPr>
          <w:lang w:eastAsia="zh-CN"/>
        </w:rPr>
      </w:pPr>
      <w:r>
        <w:rPr>
          <w:rFonts w:ascii="宋体" w:hAnsi="宋体" w:cs="宋体"/>
          <w:color w:val="000000"/>
          <w:sz w:val="24"/>
          <w:highlight w:val="white"/>
          <w:lang w:eastAsia="zh-CN"/>
        </w:rPr>
        <w:t>基金管理人和基金托管人每交易日结束后核对基金证券</w:t>
      </w:r>
      <w:r>
        <w:rPr>
          <w:rFonts w:ascii="宋体" w:hAnsi="宋体" w:cs="宋体"/>
          <w:color w:val="000000"/>
          <w:sz w:val="24"/>
          <w:highlight w:val="white"/>
          <w:lang w:eastAsia="zh-CN"/>
        </w:rPr>
        <w:t>/</w:t>
      </w:r>
      <w:r>
        <w:rPr>
          <w:rFonts w:ascii="宋体" w:hAnsi="宋体" w:cs="宋体"/>
          <w:color w:val="000000"/>
          <w:sz w:val="24"/>
          <w:highlight w:val="white"/>
          <w:lang w:eastAsia="zh-CN"/>
        </w:rPr>
        <w:t>期货账目，确保双方账目相符。基金管理人和基金托管人每月月末核对实物证券账目。</w:t>
      </w:r>
    </w:p>
    <w:p w:rsidR="00052C6C">
      <w:pPr>
        <w:ind w:firstLine="480"/>
        <w:rPr>
          <w:lang w:eastAsia="zh-CN"/>
        </w:rPr>
      </w:pPr>
      <w:r>
        <w:rPr>
          <w:rFonts w:ascii="宋体" w:hAnsi="宋体" w:cs="宋体"/>
          <w:color w:val="000000"/>
          <w:sz w:val="24"/>
          <w:highlight w:val="white"/>
          <w:lang w:eastAsia="zh-CN"/>
        </w:rPr>
        <w:t>（三）基金申购和赎回</w:t>
      </w:r>
      <w:r>
        <w:rPr>
          <w:rFonts w:ascii="宋体" w:hAnsi="宋体" w:cs="宋体"/>
          <w:color w:val="000000"/>
          <w:sz w:val="24"/>
          <w:highlight w:val="white"/>
          <w:lang w:eastAsia="zh-CN"/>
        </w:rPr>
        <w:t>业务处理的基本规定</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基金份额申购、赎回的确认、清算由基金管理人或其委托的登记机构负责。</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基金管理人应保证本基金（或本基金管理人委托）的登记机构每个工作日</w:t>
      </w:r>
      <w:r>
        <w:rPr>
          <w:rFonts w:ascii="宋体" w:hAnsi="宋体" w:cs="宋体"/>
          <w:color w:val="000000"/>
          <w:sz w:val="24"/>
          <w:highlight w:val="white"/>
          <w:lang w:eastAsia="zh-CN"/>
        </w:rPr>
        <w:t>15:00</w:t>
      </w:r>
      <w:r>
        <w:rPr>
          <w:rFonts w:ascii="宋体" w:hAnsi="宋体" w:cs="宋体"/>
          <w:color w:val="000000"/>
          <w:sz w:val="24"/>
          <w:highlight w:val="white"/>
          <w:lang w:eastAsia="zh-CN"/>
        </w:rPr>
        <w:t>前向基金托管人发送开放日上述有关数据，并保证相关数据的准确、完整。</w:t>
      </w:r>
    </w:p>
    <w:p w:rsidR="00052C6C">
      <w:pPr>
        <w:ind w:firstLine="480"/>
        <w:rPr>
          <w:lang w:eastAsia="zh-CN"/>
        </w:rPr>
      </w:pPr>
      <w:r>
        <w:rPr>
          <w:rFonts w:ascii="宋体" w:hAnsi="宋体" w:cs="宋体"/>
          <w:color w:val="000000"/>
          <w:sz w:val="24"/>
          <w:highlight w:val="white"/>
          <w:lang w:eastAsia="zh-CN"/>
        </w:rPr>
        <w:t>4.</w:t>
      </w:r>
      <w:r>
        <w:rPr>
          <w:rFonts w:ascii="宋体" w:hAnsi="宋体" w:cs="宋体"/>
          <w:color w:val="000000"/>
          <w:sz w:val="24"/>
          <w:highlight w:val="white"/>
          <w:lang w:eastAsia="zh-CN"/>
        </w:rPr>
        <w:t>登记机构应通过与基金托管人建立的加密</w:t>
      </w:r>
      <w:r>
        <w:rPr>
          <w:rFonts w:ascii="宋体" w:hAnsi="宋体" w:cs="宋体"/>
          <w:color w:val="000000"/>
          <w:sz w:val="24"/>
          <w:highlight w:val="white"/>
          <w:lang w:eastAsia="zh-CN"/>
        </w:rPr>
        <w:t>系统发送有关数据</w:t>
      </w:r>
      <w:r>
        <w:rPr>
          <w:rFonts w:ascii="宋体" w:hAnsi="宋体" w:cs="宋体"/>
          <w:color w:val="000000"/>
          <w:sz w:val="24"/>
          <w:highlight w:val="white"/>
          <w:lang w:eastAsia="zh-CN"/>
        </w:rPr>
        <w:t xml:space="preserve"> (</w:t>
      </w:r>
      <w:r>
        <w:rPr>
          <w:rFonts w:ascii="宋体" w:hAnsi="宋体" w:cs="宋体"/>
          <w:color w:val="000000"/>
          <w:sz w:val="24"/>
          <w:highlight w:val="white"/>
          <w:lang w:eastAsia="zh-CN"/>
        </w:rPr>
        <w:t>包括电子数据和盖章生效的纸制清算汇总表</w:t>
      </w:r>
      <w:r>
        <w:rPr>
          <w:rFonts w:ascii="宋体" w:hAnsi="宋体" w:cs="宋体"/>
          <w:color w:val="000000"/>
          <w:sz w:val="24"/>
          <w:highlight w:val="white"/>
          <w:lang w:eastAsia="zh-CN"/>
        </w:rPr>
        <w:t>)</w:t>
      </w:r>
      <w:r>
        <w:rPr>
          <w:rFonts w:ascii="宋体" w:hAnsi="宋体" w:cs="宋体"/>
          <w:color w:val="000000"/>
          <w:sz w:val="24"/>
          <w:highlight w:val="white"/>
          <w:lang w:eastAsia="zh-CN"/>
        </w:rPr>
        <w:t>，如因各种原因，该系统无法正常发送，双方可协商解决处理方式。基金管理人向基金托管人发送的数据，双方各自按有关规定保存。</w:t>
      </w:r>
    </w:p>
    <w:p w:rsidR="00052C6C">
      <w:pPr>
        <w:ind w:firstLine="480"/>
        <w:rPr>
          <w:lang w:eastAsia="zh-CN"/>
        </w:rPr>
      </w:pPr>
      <w:r>
        <w:rPr>
          <w:rFonts w:ascii="宋体" w:hAnsi="宋体" w:cs="宋体"/>
          <w:color w:val="000000"/>
          <w:sz w:val="24"/>
          <w:highlight w:val="white"/>
          <w:lang w:eastAsia="zh-CN"/>
        </w:rPr>
        <w:t>5.</w:t>
      </w:r>
      <w:r>
        <w:rPr>
          <w:rFonts w:ascii="宋体" w:hAnsi="宋体" w:cs="宋体"/>
          <w:color w:val="000000"/>
          <w:sz w:val="24"/>
          <w:highlight w:val="white"/>
          <w:lang w:eastAsia="zh-CN"/>
        </w:rPr>
        <w:t>如基金管理人委托其他机构办理本基金的注册登记业务，应保证上述相关事宜按时进行。否则，由基金管理人承担相应的责任。</w:t>
      </w:r>
    </w:p>
    <w:p w:rsidR="00052C6C">
      <w:pPr>
        <w:ind w:firstLine="480"/>
        <w:rPr>
          <w:lang w:eastAsia="zh-CN"/>
        </w:rPr>
      </w:pPr>
      <w:r>
        <w:rPr>
          <w:rFonts w:ascii="宋体" w:hAnsi="宋体" w:cs="宋体"/>
          <w:color w:val="000000"/>
          <w:sz w:val="24"/>
          <w:highlight w:val="white"/>
          <w:lang w:eastAsia="zh-CN"/>
        </w:rPr>
        <w:t>6.</w:t>
      </w:r>
      <w:r>
        <w:rPr>
          <w:rFonts w:ascii="宋体" w:hAnsi="宋体" w:cs="宋体"/>
          <w:color w:val="000000"/>
          <w:sz w:val="24"/>
          <w:highlight w:val="white"/>
          <w:lang w:eastAsia="zh-CN"/>
        </w:rPr>
        <w:t>关于清算专用账户的设立和管理</w:t>
      </w:r>
    </w:p>
    <w:p w:rsidR="00052C6C">
      <w:pPr>
        <w:ind w:firstLine="480"/>
        <w:rPr>
          <w:lang w:eastAsia="zh-CN"/>
        </w:rPr>
      </w:pPr>
      <w:r>
        <w:rPr>
          <w:rFonts w:ascii="宋体" w:hAnsi="宋体" w:cs="宋体"/>
          <w:color w:val="000000"/>
          <w:sz w:val="24"/>
          <w:highlight w:val="white"/>
          <w:lang w:eastAsia="zh-CN"/>
        </w:rPr>
        <w:t>为满足申购、赎回及分红资金汇划的需要，由基金管理人开立资金清算的专用账户，该账户由登记机构管理。</w:t>
      </w:r>
    </w:p>
    <w:p w:rsidR="00052C6C">
      <w:pPr>
        <w:ind w:firstLine="480"/>
        <w:rPr>
          <w:lang w:eastAsia="zh-CN"/>
        </w:rPr>
      </w:pPr>
      <w:r>
        <w:rPr>
          <w:rFonts w:ascii="宋体" w:hAnsi="宋体" w:cs="宋体"/>
          <w:color w:val="000000"/>
          <w:sz w:val="24"/>
          <w:highlight w:val="white"/>
          <w:lang w:eastAsia="zh-CN"/>
        </w:rPr>
        <w:t>7.</w:t>
      </w:r>
      <w:r>
        <w:rPr>
          <w:rFonts w:ascii="宋体" w:hAnsi="宋体" w:cs="宋体"/>
          <w:color w:val="000000"/>
          <w:sz w:val="24"/>
          <w:highlight w:val="white"/>
          <w:lang w:eastAsia="zh-CN"/>
        </w:rPr>
        <w:t>对于基金申购过程中产生的应收款，应由基金管理人负责与有关当事人确定到账日期并通</w:t>
      </w:r>
      <w:r>
        <w:rPr>
          <w:rFonts w:ascii="宋体" w:hAnsi="宋体" w:cs="宋体"/>
          <w:color w:val="000000"/>
          <w:sz w:val="24"/>
          <w:highlight w:val="white"/>
          <w:lang w:eastAsia="zh-CN"/>
        </w:rPr>
        <w:t>知基金托管人，到账日应收款没有到达基金资金账户的，基金托管人应及时通知基金管理人采取措施进行催收，由此造成基金损失的，基金管理人应负责向有关当事人追偿基金的损失。</w:t>
      </w:r>
    </w:p>
    <w:p w:rsidR="00052C6C">
      <w:pPr>
        <w:ind w:firstLine="480"/>
        <w:rPr>
          <w:lang w:eastAsia="zh-CN"/>
        </w:rPr>
      </w:pPr>
      <w:r>
        <w:rPr>
          <w:rFonts w:ascii="宋体" w:hAnsi="宋体" w:cs="宋体"/>
          <w:color w:val="000000"/>
          <w:sz w:val="24"/>
          <w:highlight w:val="white"/>
          <w:lang w:eastAsia="zh-CN"/>
        </w:rPr>
        <w:t>8.</w:t>
      </w:r>
      <w:r>
        <w:rPr>
          <w:rFonts w:ascii="宋体" w:hAnsi="宋体" w:cs="宋体"/>
          <w:color w:val="000000"/>
          <w:sz w:val="24"/>
          <w:highlight w:val="white"/>
          <w:lang w:eastAsia="zh-CN"/>
        </w:rPr>
        <w:t>赎回和分红资金划拨规定</w:t>
      </w:r>
    </w:p>
    <w:p w:rsidR="00052C6C">
      <w:pPr>
        <w:ind w:firstLine="480"/>
        <w:rPr>
          <w:lang w:eastAsia="zh-CN"/>
        </w:rPr>
      </w:pPr>
      <w:r>
        <w:rPr>
          <w:rFonts w:ascii="宋体" w:hAnsi="宋体" w:cs="宋体"/>
          <w:color w:val="000000"/>
          <w:sz w:val="24"/>
          <w:highlight w:val="white"/>
          <w:lang w:eastAsia="zh-CN"/>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52C6C">
      <w:pPr>
        <w:ind w:firstLine="480"/>
        <w:rPr>
          <w:lang w:eastAsia="zh-CN"/>
        </w:rPr>
      </w:pPr>
      <w:r>
        <w:rPr>
          <w:rFonts w:ascii="宋体" w:hAnsi="宋体" w:cs="宋体"/>
          <w:color w:val="000000"/>
          <w:sz w:val="24"/>
          <w:highlight w:val="white"/>
          <w:lang w:eastAsia="zh-CN"/>
        </w:rPr>
        <w:t>9.</w:t>
      </w:r>
      <w:r>
        <w:rPr>
          <w:rFonts w:ascii="宋体" w:hAnsi="宋体" w:cs="宋体"/>
          <w:color w:val="000000"/>
          <w:sz w:val="24"/>
          <w:highlight w:val="white"/>
          <w:lang w:eastAsia="zh-CN"/>
        </w:rPr>
        <w:t>资金指令</w:t>
      </w:r>
    </w:p>
    <w:p w:rsidR="00052C6C">
      <w:pPr>
        <w:ind w:firstLine="480"/>
        <w:rPr>
          <w:lang w:eastAsia="zh-CN"/>
        </w:rPr>
      </w:pPr>
      <w:r>
        <w:rPr>
          <w:rFonts w:ascii="宋体" w:hAnsi="宋体" w:cs="宋体"/>
          <w:color w:val="000000"/>
          <w:sz w:val="24"/>
          <w:highlight w:val="white"/>
          <w:lang w:eastAsia="zh-CN"/>
        </w:rPr>
        <w:t>除申购款项到达基金资金账户需双方按约定方式对账外，回购到期付款和与投资有关的付款、赎回和分红资金划拨时，基金管理人需向基金托管人下达指令。</w:t>
      </w:r>
    </w:p>
    <w:p w:rsidR="00052C6C">
      <w:pPr>
        <w:ind w:firstLine="480"/>
        <w:rPr>
          <w:lang w:eastAsia="zh-CN"/>
        </w:rPr>
      </w:pPr>
      <w:r>
        <w:rPr>
          <w:rFonts w:ascii="宋体" w:hAnsi="宋体" w:cs="宋体"/>
          <w:color w:val="000000"/>
          <w:sz w:val="24"/>
          <w:highlight w:val="white"/>
          <w:lang w:eastAsia="zh-CN"/>
        </w:rPr>
        <w:t>资金指令的格式、内容、发送、接收和确认方式等与投资指令相同。</w:t>
      </w:r>
    </w:p>
    <w:p w:rsidR="00052C6C">
      <w:pPr>
        <w:ind w:firstLine="480"/>
        <w:rPr>
          <w:lang w:eastAsia="zh-CN"/>
        </w:rPr>
      </w:pPr>
      <w:r>
        <w:rPr>
          <w:rFonts w:ascii="宋体" w:hAnsi="宋体" w:cs="宋体"/>
          <w:color w:val="000000"/>
          <w:sz w:val="24"/>
          <w:highlight w:val="white"/>
          <w:lang w:eastAsia="zh-CN"/>
        </w:rPr>
        <w:t>（四）申赎结算</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基金托管账户与</w:t>
      </w:r>
      <w:r>
        <w:rPr>
          <w:rFonts w:ascii="宋体" w:hAnsi="宋体" w:cs="宋体"/>
          <w:color w:val="000000"/>
          <w:sz w:val="24"/>
          <w:highlight w:val="white"/>
          <w:lang w:eastAsia="zh-CN"/>
        </w:rPr>
        <w:t>“</w:t>
      </w:r>
      <w:r>
        <w:rPr>
          <w:rFonts w:ascii="宋体" w:hAnsi="宋体" w:cs="宋体"/>
          <w:color w:val="000000"/>
          <w:sz w:val="24"/>
          <w:highlight w:val="white"/>
          <w:lang w:eastAsia="zh-CN"/>
        </w:rPr>
        <w:t>基金清算账户</w:t>
      </w:r>
      <w:r>
        <w:rPr>
          <w:rFonts w:ascii="宋体" w:hAnsi="宋体" w:cs="宋体"/>
          <w:color w:val="000000"/>
          <w:sz w:val="24"/>
          <w:highlight w:val="white"/>
          <w:lang w:eastAsia="zh-CN"/>
        </w:rPr>
        <w:t>”</w:t>
      </w:r>
      <w:r>
        <w:rPr>
          <w:rFonts w:ascii="宋体" w:hAnsi="宋体" w:cs="宋体"/>
          <w:color w:val="000000"/>
          <w:sz w:val="24"/>
          <w:highlight w:val="white"/>
          <w:lang w:eastAsia="zh-CN"/>
        </w:rPr>
        <w:t>间的资金清算遵循</w:t>
      </w:r>
      <w:r>
        <w:rPr>
          <w:rFonts w:ascii="宋体" w:hAnsi="宋体" w:cs="宋体"/>
          <w:color w:val="000000"/>
          <w:sz w:val="24"/>
          <w:highlight w:val="white"/>
          <w:lang w:eastAsia="zh-CN"/>
        </w:rPr>
        <w:t>“</w:t>
      </w:r>
      <w:r>
        <w:rPr>
          <w:rFonts w:ascii="宋体" w:hAnsi="宋体" w:cs="宋体"/>
          <w:color w:val="000000"/>
          <w:sz w:val="24"/>
          <w:highlight w:val="white"/>
          <w:lang w:eastAsia="zh-CN"/>
        </w:rPr>
        <w:t>全额清算、净额交收</w:t>
      </w:r>
      <w:r>
        <w:rPr>
          <w:rFonts w:ascii="宋体" w:hAnsi="宋体" w:cs="宋体"/>
          <w:color w:val="000000"/>
          <w:sz w:val="24"/>
          <w:highlight w:val="white"/>
          <w:lang w:eastAsia="zh-CN"/>
        </w:rPr>
        <w:t>”</w:t>
      </w:r>
      <w:r>
        <w:rPr>
          <w:rFonts w:ascii="宋体" w:hAnsi="宋体" w:cs="宋体"/>
          <w:color w:val="000000"/>
          <w:sz w:val="24"/>
          <w:highlight w:val="white"/>
          <w:lang w:eastAsia="zh-CN"/>
        </w:rPr>
        <w:t>的原则，即按照托管账户应收资金与托管账户应付额的差额来确定托管账户净应收额或净应付额，以此确定资金交收额。</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当存在托管账户净应收额时，基金管理人负责将托管账户净应收额在交收日</w:t>
      </w:r>
      <w:r>
        <w:rPr>
          <w:rFonts w:ascii="宋体" w:hAnsi="宋体" w:cs="宋体"/>
          <w:color w:val="000000"/>
          <w:sz w:val="24"/>
          <w:highlight w:val="white"/>
          <w:lang w:eastAsia="zh-CN"/>
        </w:rPr>
        <w:t>15:00</w:t>
      </w:r>
      <w:r>
        <w:rPr>
          <w:rFonts w:ascii="宋体" w:hAnsi="宋体" w:cs="宋体"/>
          <w:color w:val="000000"/>
          <w:sz w:val="24"/>
          <w:highlight w:val="white"/>
          <w:lang w:eastAsia="zh-CN"/>
        </w:rPr>
        <w:t>前从</w:t>
      </w:r>
      <w:r>
        <w:rPr>
          <w:rFonts w:ascii="宋体" w:hAnsi="宋体" w:cs="宋体"/>
          <w:color w:val="000000"/>
          <w:sz w:val="24"/>
          <w:highlight w:val="white"/>
          <w:lang w:eastAsia="zh-CN"/>
        </w:rPr>
        <w:t>“</w:t>
      </w:r>
      <w:r>
        <w:rPr>
          <w:rFonts w:ascii="宋体" w:hAnsi="宋体" w:cs="宋体"/>
          <w:color w:val="000000"/>
          <w:sz w:val="24"/>
          <w:highlight w:val="white"/>
          <w:lang w:eastAsia="zh-CN"/>
        </w:rPr>
        <w:t>基金清算账户</w:t>
      </w:r>
      <w:r>
        <w:rPr>
          <w:rFonts w:ascii="宋体" w:hAnsi="宋体" w:cs="宋体"/>
          <w:color w:val="000000"/>
          <w:sz w:val="24"/>
          <w:highlight w:val="white"/>
          <w:lang w:eastAsia="zh-CN"/>
        </w:rPr>
        <w:t>”</w:t>
      </w:r>
      <w:r>
        <w:rPr>
          <w:rFonts w:ascii="宋体" w:hAnsi="宋体" w:cs="宋体"/>
          <w:color w:val="000000"/>
          <w:sz w:val="24"/>
          <w:highlight w:val="white"/>
          <w:lang w:eastAsia="zh-CN"/>
        </w:rPr>
        <w:t>划往基金</w:t>
      </w:r>
      <w:r>
        <w:rPr>
          <w:rFonts w:ascii="宋体" w:hAnsi="宋体" w:cs="宋体"/>
          <w:color w:val="000000"/>
          <w:sz w:val="24"/>
          <w:highlight w:val="white"/>
          <w:lang w:eastAsia="zh-CN"/>
        </w:rPr>
        <w:t>的托管账户；当存在托管账户净应付额时，基金管理人应在交收日</w:t>
      </w:r>
      <w:r>
        <w:rPr>
          <w:rFonts w:ascii="宋体" w:hAnsi="宋体" w:cs="宋体"/>
          <w:color w:val="000000"/>
          <w:sz w:val="24"/>
          <w:highlight w:val="white"/>
          <w:lang w:eastAsia="zh-CN"/>
        </w:rPr>
        <w:t>10:00</w:t>
      </w:r>
      <w:r>
        <w:rPr>
          <w:rFonts w:ascii="宋体" w:hAnsi="宋体" w:cs="宋体"/>
          <w:color w:val="000000"/>
          <w:sz w:val="24"/>
          <w:highlight w:val="white"/>
          <w:lang w:eastAsia="zh-CN"/>
        </w:rPr>
        <w:t>前将划款指令发送给基金托管人，基金托管人按基金管理人的划款指令将托管账户净应付额在交收日</w:t>
      </w:r>
      <w:r>
        <w:rPr>
          <w:rFonts w:ascii="宋体" w:hAnsi="宋体" w:cs="宋体"/>
          <w:color w:val="000000"/>
          <w:sz w:val="24"/>
          <w:highlight w:val="white"/>
          <w:lang w:eastAsia="zh-CN"/>
        </w:rPr>
        <w:t>15:00</w:t>
      </w:r>
      <w:r>
        <w:rPr>
          <w:rFonts w:ascii="宋体" w:hAnsi="宋体" w:cs="宋体"/>
          <w:color w:val="000000"/>
          <w:sz w:val="24"/>
          <w:highlight w:val="white"/>
          <w:lang w:eastAsia="zh-CN"/>
        </w:rPr>
        <w:t>之前划往基金清算账户。</w:t>
      </w:r>
    </w:p>
    <w:p w:rsidR="00052C6C">
      <w:pPr>
        <w:ind w:firstLine="480"/>
        <w:rPr>
          <w:lang w:eastAsia="zh-CN"/>
        </w:rPr>
      </w:pPr>
      <w:r>
        <w:rPr>
          <w:rFonts w:ascii="宋体" w:hAnsi="宋体" w:cs="宋体"/>
          <w:color w:val="000000"/>
          <w:sz w:val="24"/>
          <w:highlight w:val="white"/>
          <w:lang w:eastAsia="zh-CN"/>
        </w:rPr>
        <w:t>在发生巨额赎回或《基金合同》载明的其他暂停赎回或延缓支付赎回款项的情形时，款项的支付办法参照《基金合同》有关条款处理。</w:t>
      </w:r>
    </w:p>
    <w:p w:rsidR="00052C6C">
      <w:pPr>
        <w:ind w:firstLine="480"/>
        <w:rPr>
          <w:lang w:eastAsia="zh-CN"/>
        </w:rPr>
      </w:pPr>
      <w:r>
        <w:rPr>
          <w:rFonts w:ascii="宋体" w:hAnsi="宋体" w:cs="宋体"/>
          <w:color w:val="000000"/>
          <w:sz w:val="24"/>
          <w:highlight w:val="white"/>
          <w:lang w:eastAsia="zh-CN"/>
        </w:rPr>
        <w:t>（五）基金现金分红</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基金管理人确定分红方案通知基金托管人，双方核定后依照《信息披露办法》的有关规定在规定媒介上公告。</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基金托管人和基金管理人对基金分红进行账务处理并核对后，基金管理人向基金托管人</w:t>
      </w:r>
      <w:r>
        <w:rPr>
          <w:rFonts w:ascii="宋体" w:hAnsi="宋体" w:cs="宋体"/>
          <w:color w:val="000000"/>
          <w:sz w:val="24"/>
          <w:highlight w:val="white"/>
          <w:lang w:eastAsia="zh-CN"/>
        </w:rPr>
        <w:t>发送现金红利的划款指令，基金托管人应及时将资金划入专用账户。</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基金管理人在下达指令时，应给基金托管人留出必需的划款时间。</w:t>
      </w:r>
    </w:p>
    <w:p w:rsidR="00052C6C">
      <w:pPr>
        <w:ind w:firstLine="480"/>
        <w:rPr>
          <w:lang w:eastAsia="zh-CN"/>
        </w:rPr>
      </w:pPr>
      <w:r>
        <w:rPr>
          <w:rFonts w:ascii="宋体" w:hAnsi="宋体" w:cs="宋体"/>
          <w:color w:val="000000"/>
          <w:sz w:val="24"/>
          <w:highlight w:val="white"/>
          <w:lang w:eastAsia="zh-CN"/>
        </w:rPr>
        <w:t>（六）投资银行存款的特别约定</w:t>
      </w:r>
    </w:p>
    <w:p w:rsidR="00052C6C">
      <w:pPr>
        <w:ind w:firstLine="480"/>
        <w:rPr>
          <w:lang w:eastAsia="zh-CN"/>
        </w:rPr>
      </w:pPr>
      <w:r>
        <w:rPr>
          <w:rFonts w:ascii="宋体" w:hAnsi="宋体" w:cs="宋体"/>
          <w:color w:val="000000"/>
          <w:sz w:val="24"/>
          <w:highlight w:val="white"/>
          <w:lang w:eastAsia="zh-CN"/>
        </w:rPr>
        <w:t>1.</w:t>
      </w:r>
      <w:r>
        <w:rPr>
          <w:rFonts w:ascii="宋体" w:hAnsi="宋体" w:cs="宋体"/>
          <w:color w:val="000000"/>
          <w:sz w:val="24"/>
          <w:highlight w:val="white"/>
          <w:lang w:eastAsia="zh-CN"/>
        </w:rPr>
        <w:t>本基金投资银行存款前，基金管理人应与存款银行签订具体存款协议，包括但不限于以下内容：</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1</w:t>
      </w:r>
      <w:r>
        <w:rPr>
          <w:rFonts w:ascii="宋体" w:hAnsi="宋体" w:cs="宋体"/>
          <w:color w:val="000000"/>
          <w:sz w:val="24"/>
          <w:highlight w:val="white"/>
          <w:lang w:eastAsia="zh-CN"/>
        </w:rPr>
        <w:t>）存款账户必须以本基金名义开立</w:t>
      </w:r>
      <w:r>
        <w:rPr>
          <w:rFonts w:ascii="宋体" w:hAnsi="宋体" w:cs="宋体"/>
          <w:color w:val="000000"/>
          <w:sz w:val="24"/>
          <w:highlight w:val="white"/>
          <w:lang w:eastAsia="zh-CN"/>
        </w:rPr>
        <w:t>,</w:t>
      </w:r>
      <w:r>
        <w:rPr>
          <w:rFonts w:ascii="宋体" w:hAnsi="宋体" w:cs="宋体"/>
          <w:color w:val="000000"/>
          <w:sz w:val="24"/>
          <w:highlight w:val="white"/>
          <w:lang w:eastAsia="zh-CN"/>
        </w:rPr>
        <w:t>并将基金托管人为本基金开立的基金银行账户指定为唯一回款账户，任何情况下，存款银行都不得将存款投资本息划往任何其他账户。</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2</w:t>
      </w:r>
      <w:r>
        <w:rPr>
          <w:rFonts w:ascii="宋体" w:hAnsi="宋体" w:cs="宋体"/>
          <w:color w:val="000000"/>
          <w:sz w:val="24"/>
          <w:highlight w:val="white"/>
          <w:lang w:eastAsia="zh-CN"/>
        </w:rPr>
        <w:t>）存款银行不得接受基金管理人或基金托管人任何一方单方面提出的对存款进行更名、转让、挂失、质押、担保、撤销、</w:t>
      </w:r>
      <w:r>
        <w:rPr>
          <w:rFonts w:ascii="宋体" w:hAnsi="宋体" w:cs="宋体"/>
          <w:color w:val="000000"/>
          <w:sz w:val="24"/>
          <w:highlight w:val="white"/>
          <w:lang w:eastAsia="zh-CN"/>
        </w:rPr>
        <w:t>变更印鉴及回款账户信息等可能导致财产转移的操作申请。</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3</w:t>
      </w:r>
      <w:r>
        <w:rPr>
          <w:rFonts w:ascii="宋体" w:hAnsi="宋体" w:cs="宋体"/>
          <w:color w:val="000000"/>
          <w:sz w:val="24"/>
          <w:highlight w:val="white"/>
          <w:lang w:eastAsia="zh-CN"/>
        </w:rPr>
        <w:t>）约定存款证实书的具体传递交接方式及交接期限。</w:t>
      </w:r>
    </w:p>
    <w:p w:rsidR="00052C6C">
      <w:pPr>
        <w:ind w:firstLine="480"/>
        <w:rPr>
          <w:lang w:eastAsia="zh-CN"/>
        </w:rPr>
      </w:pPr>
      <w:r>
        <w:rPr>
          <w:rFonts w:ascii="宋体" w:hAnsi="宋体" w:cs="宋体"/>
          <w:color w:val="000000"/>
          <w:sz w:val="24"/>
          <w:highlight w:val="white"/>
          <w:lang w:eastAsia="zh-CN"/>
        </w:rPr>
        <w:t>（</w:t>
      </w:r>
      <w:r>
        <w:rPr>
          <w:rFonts w:ascii="宋体" w:hAnsi="宋体" w:cs="宋体"/>
          <w:color w:val="000000"/>
          <w:sz w:val="24"/>
          <w:highlight w:val="white"/>
          <w:lang w:eastAsia="zh-CN"/>
        </w:rPr>
        <w:t>4</w:t>
      </w:r>
      <w:r>
        <w:rPr>
          <w:rFonts w:ascii="宋体" w:hAnsi="宋体" w:cs="宋体"/>
          <w:color w:val="000000"/>
          <w:sz w:val="24"/>
          <w:highlight w:val="white"/>
          <w:lang w:eastAsia="zh-CN"/>
        </w:rPr>
        <w:t>）资金划转过程中需要使用存款银行过渡账户的，存款银行须保证资金在过渡账户中不出现滞留，不被挪用。</w:t>
      </w:r>
    </w:p>
    <w:p w:rsidR="00052C6C">
      <w:pPr>
        <w:ind w:firstLine="480"/>
        <w:rPr>
          <w:lang w:eastAsia="zh-CN"/>
        </w:rPr>
      </w:pPr>
      <w:r>
        <w:rPr>
          <w:rFonts w:ascii="宋体" w:hAnsi="宋体" w:cs="宋体"/>
          <w:color w:val="000000"/>
          <w:sz w:val="24"/>
          <w:highlight w:val="white"/>
          <w:lang w:eastAsia="zh-CN"/>
        </w:rPr>
        <w:t>2.</w:t>
      </w:r>
      <w:r>
        <w:rPr>
          <w:rFonts w:ascii="宋体" w:hAnsi="宋体" w:cs="宋体"/>
          <w:color w:val="000000"/>
          <w:sz w:val="24"/>
          <w:highlight w:val="white"/>
          <w:lang w:eastAsia="zh-CN"/>
        </w:rPr>
        <w:t>本基金投资银行存款，必须采用双方认可的方式办理。基金托管人负责依据基金管理人提供的银行存款投资合同</w:t>
      </w:r>
      <w:r>
        <w:rPr>
          <w:rFonts w:ascii="宋体" w:hAnsi="宋体" w:cs="宋体"/>
          <w:color w:val="000000"/>
          <w:sz w:val="24"/>
          <w:highlight w:val="white"/>
          <w:lang w:eastAsia="zh-CN"/>
        </w:rPr>
        <w:t>/</w:t>
      </w:r>
      <w:r>
        <w:rPr>
          <w:rFonts w:ascii="宋体" w:hAnsi="宋体" w:cs="宋体"/>
          <w:color w:val="000000"/>
          <w:sz w:val="24"/>
          <w:highlight w:val="white"/>
          <w:lang w:eastAsia="zh-CN"/>
        </w:rPr>
        <w:t>协议</w:t>
      </w:r>
      <w:r>
        <w:rPr>
          <w:rFonts w:ascii="宋体" w:hAnsi="宋体" w:cs="宋体"/>
          <w:color w:val="000000"/>
          <w:sz w:val="24"/>
          <w:highlight w:val="white"/>
          <w:lang w:eastAsia="zh-CN"/>
        </w:rPr>
        <w:t>/</w:t>
      </w:r>
      <w:r>
        <w:rPr>
          <w:rFonts w:ascii="宋体" w:hAnsi="宋体" w:cs="宋体"/>
          <w:color w:val="000000"/>
          <w:sz w:val="24"/>
          <w:highlight w:val="white"/>
          <w:lang w:eastAsia="zh-CN"/>
        </w:rPr>
        <w:t>成交单、投资指令、支取通知等有关文件办理资金的支付以及存款证实书的接收、保管与交付，切实履行托管职责。基金托管人负责对存款开户证实书进行保管，不负责对存款开户证实书真伪的辨别，不承担存款开户证实</w:t>
      </w:r>
      <w:r>
        <w:rPr>
          <w:rFonts w:ascii="宋体" w:hAnsi="宋体" w:cs="宋体"/>
          <w:color w:val="000000"/>
          <w:sz w:val="24"/>
          <w:highlight w:val="white"/>
          <w:lang w:eastAsia="zh-CN"/>
        </w:rPr>
        <w:t>书对应存款的本金及收益的安全。</w:t>
      </w:r>
    </w:p>
    <w:p w:rsidR="00052C6C">
      <w:pPr>
        <w:ind w:firstLine="480"/>
        <w:rPr>
          <w:lang w:eastAsia="zh-CN"/>
        </w:rPr>
      </w:pPr>
      <w:r>
        <w:rPr>
          <w:rFonts w:ascii="宋体" w:hAnsi="宋体" w:cs="宋体"/>
          <w:color w:val="000000"/>
          <w:sz w:val="24"/>
          <w:highlight w:val="white"/>
          <w:lang w:eastAsia="zh-CN"/>
        </w:rPr>
        <w:t>3.</w:t>
      </w:r>
      <w:r>
        <w:rPr>
          <w:rFonts w:ascii="宋体" w:hAnsi="宋体" w:cs="宋体"/>
          <w:color w:val="000000"/>
          <w:sz w:val="24"/>
          <w:highlight w:val="white"/>
          <w:lang w:eastAsia="zh-CN"/>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52C6C" w:rsidP="00855FAF">
      <w:pPr>
        <w:ind w:firstLine="480"/>
        <w:rPr>
          <w:rFonts w:ascii="宋体" w:hAnsi="宋体" w:cs="宋体"/>
          <w:sz w:val="24"/>
          <w:lang w:eastAsia="zh-CN"/>
        </w:rPr>
      </w:pPr>
      <w:r>
        <w:rPr>
          <w:rFonts w:ascii="宋体" w:hAnsi="宋体" w:cs="宋体"/>
          <w:color w:val="000000"/>
          <w:sz w:val="24"/>
          <w:highlight w:val="white"/>
          <w:lang w:eastAsia="zh-CN"/>
        </w:rPr>
        <w:t>4.</w:t>
      </w:r>
      <w:r>
        <w:rPr>
          <w:rFonts w:ascii="宋体" w:hAnsi="宋体" w:cs="宋体"/>
          <w:color w:val="000000"/>
          <w:sz w:val="24"/>
          <w:highlight w:val="white"/>
          <w:lang w:eastAsia="zh-CN"/>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宋体" w:hAnsi="宋体" w:cs="宋体"/>
          <w:color w:val="000000"/>
          <w:sz w:val="24"/>
          <w:highlight w:val="white"/>
          <w:lang w:eastAsia="zh-CN"/>
        </w:rPr>
        <w:t>1</w:t>
      </w:r>
      <w:r>
        <w:rPr>
          <w:rFonts w:ascii="宋体" w:hAnsi="宋体" w:cs="宋体"/>
          <w:color w:val="000000"/>
          <w:sz w:val="24"/>
          <w:highlight w:val="white"/>
          <w:lang w:eastAsia="zh-CN"/>
        </w:rPr>
        <w:t>）建立风险预警机制，对于实物凭证未送达集中度较高的存款银行，主动发函管理人尽量避免在此类银行进行存款投资；（</w:t>
      </w:r>
      <w:r>
        <w:rPr>
          <w:rFonts w:ascii="宋体" w:hAnsi="宋体" w:cs="宋体"/>
          <w:color w:val="000000"/>
          <w:sz w:val="24"/>
          <w:highlight w:val="white"/>
          <w:lang w:eastAsia="zh-CN"/>
        </w:rPr>
        <w:t>2</w:t>
      </w:r>
      <w:r>
        <w:rPr>
          <w:rFonts w:ascii="宋体" w:hAnsi="宋体" w:cs="宋体"/>
          <w:color w:val="000000"/>
          <w:sz w:val="24"/>
          <w:highlight w:val="white"/>
          <w:lang w:eastAsia="zh-CN"/>
        </w:rPr>
        <w:t>）在定期报告中，对未按约定送达托管人保管的实物凭证信息进行规定范围信息披露；（</w:t>
      </w:r>
      <w:r>
        <w:rPr>
          <w:rFonts w:ascii="宋体" w:hAnsi="宋体" w:cs="宋体"/>
          <w:color w:val="000000"/>
          <w:sz w:val="24"/>
          <w:highlight w:val="white"/>
          <w:lang w:eastAsia="zh-CN"/>
        </w:rPr>
        <w:t>3</w:t>
      </w:r>
      <w:r>
        <w:rPr>
          <w:rFonts w:ascii="宋体" w:hAnsi="宋体" w:cs="宋体"/>
          <w:color w:val="000000"/>
          <w:sz w:val="24"/>
          <w:highlight w:val="white"/>
          <w:lang w:eastAsia="zh-CN"/>
        </w:rPr>
        <w:t>）未送达实物凭证超过送单截止日后</w:t>
      </w:r>
      <w:r>
        <w:rPr>
          <w:rFonts w:ascii="宋体" w:hAnsi="宋体" w:cs="宋体"/>
          <w:color w:val="000000"/>
          <w:sz w:val="24"/>
          <w:highlight w:val="white"/>
          <w:lang w:eastAsia="zh-CN"/>
        </w:rPr>
        <w:t>30</w:t>
      </w:r>
      <w:r>
        <w:rPr>
          <w:rFonts w:ascii="宋体" w:hAnsi="宋体" w:cs="宋体"/>
          <w:color w:val="000000"/>
          <w:sz w:val="24"/>
          <w:highlight w:val="white"/>
          <w:lang w:eastAsia="zh-CN"/>
        </w:rPr>
        <w:t>个工作日，且累计超过</w:t>
      </w:r>
      <w:r>
        <w:rPr>
          <w:rFonts w:ascii="宋体" w:hAnsi="宋体" w:cs="宋体"/>
          <w:color w:val="000000"/>
          <w:sz w:val="24"/>
          <w:highlight w:val="white"/>
          <w:lang w:eastAsia="zh-CN"/>
        </w:rPr>
        <w:t>3</w:t>
      </w:r>
      <w:r>
        <w:rPr>
          <w:rFonts w:ascii="宋体" w:hAnsi="宋体" w:cs="宋体"/>
          <w:color w:val="000000"/>
          <w:sz w:val="24"/>
          <w:highlight w:val="white"/>
          <w:lang w:eastAsia="zh-CN"/>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052C6C">
      <w:pPr>
        <w:snapToGrid w:val="0"/>
        <w:ind w:firstLine="480"/>
        <w:rPr>
          <w:rFonts w:ascii="宋体" w:hAnsi="宋体" w:cs="宋体"/>
          <w:sz w:val="24"/>
          <w:lang w:eastAsia="zh-CN"/>
        </w:rPr>
      </w:pPr>
    </w:p>
    <w:p w:rsidR="00052C6C">
      <w:pPr>
        <w:pStyle w:val="21"/>
        <w:jc w:val="center"/>
        <w:rPr>
          <w:rFonts w:ascii="宋体" w:eastAsia="宋体" w:hAnsi="宋体" w:cs="宋体"/>
          <w:sz w:val="30"/>
          <w:lang w:eastAsia="zh-CN"/>
        </w:rPr>
      </w:pPr>
      <w:r>
        <w:rPr>
          <w:rFonts w:ascii="宋体" w:eastAsia="宋体" w:hAnsi="宋体" w:cs="宋体" w:hint="eastAsia"/>
          <w:sz w:val="30"/>
          <w:highlight w:val="white"/>
          <w:lang w:eastAsia="zh-CN"/>
        </w:rPr>
        <w:t xml:space="preserve"> </w:t>
      </w:r>
      <w:bookmarkStart w:id="85" w:name="_Toc164350593"/>
      <w:r>
        <w:rPr>
          <w:rFonts w:ascii="宋体" w:eastAsia="宋体" w:hAnsi="宋体" w:cs="宋体" w:hint="eastAsia"/>
          <w:sz w:val="30"/>
          <w:highlight w:val="white"/>
          <w:lang w:eastAsia="zh-CN"/>
        </w:rPr>
        <w:t>八、基金资产净值计算和会计核算</w:t>
      </w:r>
      <w:bookmarkEnd w:id="85"/>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（一）基金资产净值的计算、复核与完成的时间及程序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基金资产净值是指基金资产总值减去负债后的金额。各类基金份额净值是按照每个估值日闭市后，该类基金资产净值除以当日该类基金份额的余额数量计算，均精确到</w:t>
      </w:r>
      <w:r>
        <w:rPr>
          <w:rFonts w:ascii="宋体" w:hAnsi="宋体" w:cs="宋体" w:hint="eastAsia"/>
          <w:sz w:val="24"/>
          <w:highlight w:val="white"/>
          <w:lang w:eastAsia="zh-CN"/>
        </w:rPr>
        <w:t>0.0001</w:t>
      </w:r>
      <w:r>
        <w:rPr>
          <w:rFonts w:ascii="宋体" w:hAnsi="宋体" w:cs="宋体" w:hint="eastAsia"/>
          <w:sz w:val="24"/>
          <w:highlight w:val="white"/>
          <w:lang w:eastAsia="zh-CN"/>
        </w:rPr>
        <w:t>元，小数点后第五位四舍五入。基金管理人可以设立大额赎回情形下的净值精度应急调整机制。国家另有规定的，从其规定。</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每个估值日计算基金资产净值及各类基金份额净值，并按规定公告。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基金管理人应每个估值日对基金资产估值。但基金管理人根据法律法规或《基金合同》的规定暂停估值时除外。基金管理人每个估值日对基</w:t>
      </w:r>
      <w:r>
        <w:rPr>
          <w:rFonts w:ascii="宋体" w:hAnsi="宋体" w:cs="宋体" w:hint="eastAsia"/>
          <w:sz w:val="24"/>
          <w:highlight w:val="white"/>
          <w:lang w:eastAsia="zh-CN"/>
        </w:rPr>
        <w:t>金资产估值后，经基金托管人复核无误后，由基金管理人按规定对外公布。</w:t>
      </w:r>
    </w:p>
    <w:p w:rsidR="00052C6C">
      <w:pPr>
        <w:ind w:firstLine="480"/>
        <w:rPr>
          <w:rFonts w:ascii="宋体" w:hAnsi="宋体" w:cs="宋体"/>
          <w:sz w:val="24"/>
          <w:lang w:eastAsia="zh-CN"/>
        </w:rPr>
      </w:pPr>
      <w:r>
        <w:rPr>
          <w:rFonts w:ascii="宋体" w:hAnsi="宋体" w:cs="宋体" w:hint="eastAsia"/>
          <w:sz w:val="24"/>
          <w:highlight w:val="white"/>
          <w:lang w:eastAsia="zh-CN"/>
        </w:rPr>
        <w:t>（二）基金资产估值方法和特殊情形的处理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估值对象</w:t>
      </w:r>
    </w:p>
    <w:p w:rsidR="00052C6C">
      <w:pPr>
        <w:snapToGrid w:val="0"/>
        <w:ind w:firstLine="480"/>
        <w:rPr>
          <w:rFonts w:ascii="宋体" w:hAnsi="宋体" w:cs="宋体"/>
          <w:sz w:val="24"/>
          <w:lang w:eastAsia="zh-CN"/>
        </w:rPr>
      </w:pPr>
      <w:r>
        <w:rPr>
          <w:rFonts w:ascii="宋体" w:hAnsi="宋体" w:cs="宋体"/>
          <w:sz w:val="24"/>
          <w:highlight w:val="white"/>
          <w:lang w:eastAsia="zh-CN"/>
        </w:rPr>
        <w:t>基金所拥有的目标</w:t>
      </w:r>
      <w:r>
        <w:rPr>
          <w:rFonts w:ascii="宋体" w:hAnsi="宋体" w:cs="宋体"/>
          <w:sz w:val="24"/>
          <w:highlight w:val="white"/>
          <w:lang w:eastAsia="zh-CN"/>
        </w:rPr>
        <w:t>ETF</w:t>
      </w:r>
      <w:r>
        <w:rPr>
          <w:rFonts w:ascii="宋体" w:hAnsi="宋体" w:cs="宋体"/>
          <w:sz w:val="24"/>
          <w:highlight w:val="white"/>
          <w:lang w:eastAsia="zh-CN"/>
        </w:rPr>
        <w:t>基金份额、股票、债券和银行存款本息、应收款项、其它投资等资产及负债。</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估值方法</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本基金所持有的投资品种，按如下原则进行估值：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w:t>
      </w:r>
      <w:r>
        <w:rPr>
          <w:rFonts w:ascii="宋体" w:hAnsi="宋体" w:cs="宋体"/>
          <w:sz w:val="24"/>
          <w:highlight w:val="white"/>
          <w:lang w:eastAsia="zh-CN"/>
        </w:rPr>
        <w:t>）目标</w:t>
      </w:r>
      <w:r>
        <w:rPr>
          <w:rFonts w:ascii="宋体" w:hAnsi="宋体" w:cs="宋体"/>
          <w:sz w:val="24"/>
          <w:highlight w:val="white"/>
          <w:lang w:eastAsia="zh-CN"/>
        </w:rPr>
        <w:t>ETF</w:t>
      </w:r>
      <w:r>
        <w:rPr>
          <w:rFonts w:ascii="宋体" w:hAnsi="宋体" w:cs="宋体"/>
          <w:sz w:val="24"/>
          <w:highlight w:val="white"/>
          <w:lang w:eastAsia="zh-CN"/>
        </w:rPr>
        <w:t>基金份额估值方法</w:t>
      </w:r>
    </w:p>
    <w:p w:rsidR="00052C6C">
      <w:pPr>
        <w:snapToGrid w:val="0"/>
        <w:ind w:firstLine="480"/>
        <w:rPr>
          <w:rFonts w:ascii="宋体" w:hAnsi="宋体" w:cs="宋体"/>
          <w:sz w:val="24"/>
          <w:lang w:eastAsia="zh-CN"/>
        </w:rPr>
      </w:pPr>
      <w:r>
        <w:rPr>
          <w:rFonts w:ascii="宋体" w:hAnsi="宋体" w:cs="宋体"/>
          <w:sz w:val="24"/>
          <w:highlight w:val="white"/>
          <w:lang w:eastAsia="zh-CN"/>
        </w:rPr>
        <w:t>对持有的目标</w:t>
      </w:r>
      <w:r>
        <w:rPr>
          <w:rFonts w:ascii="宋体" w:hAnsi="宋体" w:cs="宋体"/>
          <w:sz w:val="24"/>
          <w:highlight w:val="white"/>
          <w:lang w:eastAsia="zh-CN"/>
        </w:rPr>
        <w:t>ETF</w:t>
      </w:r>
      <w:r>
        <w:rPr>
          <w:rFonts w:ascii="宋体" w:hAnsi="宋体" w:cs="宋体"/>
          <w:sz w:val="24"/>
          <w:highlight w:val="white"/>
          <w:lang w:eastAsia="zh-CN"/>
        </w:rPr>
        <w:t>基金份额，按估值日目标</w:t>
      </w:r>
      <w:r>
        <w:rPr>
          <w:rFonts w:ascii="宋体" w:hAnsi="宋体" w:cs="宋体"/>
          <w:sz w:val="24"/>
          <w:highlight w:val="white"/>
          <w:lang w:eastAsia="zh-CN"/>
        </w:rPr>
        <w:t>ETF</w:t>
      </w:r>
      <w:r>
        <w:rPr>
          <w:rFonts w:ascii="宋体" w:hAnsi="宋体" w:cs="宋体"/>
          <w:sz w:val="24"/>
          <w:highlight w:val="white"/>
          <w:lang w:eastAsia="zh-CN"/>
        </w:rPr>
        <w:t>基金的份额净值估值。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）处于未上市期间的有价证券应区分如下情况处理：</w:t>
      </w:r>
    </w:p>
    <w:p w:rsidR="00052C6C">
      <w:pPr>
        <w:snapToGrid w:val="0"/>
        <w:ind w:firstLine="480"/>
        <w:rPr>
          <w:rFonts w:ascii="宋体" w:hAnsi="宋体" w:cs="宋体"/>
          <w:sz w:val="24"/>
          <w:lang w:eastAsia="zh-CN"/>
        </w:rPr>
      </w:pPr>
      <w:r>
        <w:rPr>
          <w:rFonts w:ascii="宋体" w:hAnsi="宋体" w:cs="宋体"/>
          <w:sz w:val="24"/>
          <w:highlight w:val="white"/>
          <w:lang w:eastAsia="zh-CN"/>
        </w:rPr>
        <w:t>1</w:t>
      </w:r>
      <w:r>
        <w:rPr>
          <w:rFonts w:ascii="宋体" w:hAnsi="宋体" w:cs="宋体"/>
          <w:sz w:val="24"/>
          <w:highlight w:val="white"/>
          <w:lang w:eastAsia="zh-CN"/>
        </w:rPr>
        <w:t>）送股、转增股、配股和公开增发的新股，按估值日在证券交易所挂牌的同一股票的估值</w:t>
      </w:r>
      <w:r>
        <w:rPr>
          <w:rFonts w:ascii="宋体" w:hAnsi="宋体" w:cs="宋体"/>
          <w:sz w:val="24"/>
          <w:highlight w:val="white"/>
          <w:lang w:eastAsia="zh-CN"/>
        </w:rPr>
        <w:t>方法估值；该日无交易的，以最近一日的市价（收盘价）估值；</w:t>
      </w:r>
    </w:p>
    <w:p w:rsidR="00052C6C">
      <w:pPr>
        <w:snapToGrid w:val="0"/>
        <w:ind w:firstLine="480"/>
        <w:rPr>
          <w:rFonts w:ascii="宋体" w:hAnsi="宋体" w:cs="宋体"/>
          <w:sz w:val="24"/>
          <w:lang w:eastAsia="zh-CN"/>
        </w:rPr>
      </w:pPr>
      <w:r>
        <w:rPr>
          <w:rFonts w:ascii="宋体" w:hAnsi="宋体" w:cs="宋体"/>
          <w:sz w:val="24"/>
          <w:highlight w:val="white"/>
          <w:lang w:eastAsia="zh-CN"/>
        </w:rPr>
        <w:t>2</w:t>
      </w:r>
      <w:r>
        <w:rPr>
          <w:rFonts w:ascii="宋体" w:hAnsi="宋体" w:cs="宋体"/>
          <w:sz w:val="24"/>
          <w:highlight w:val="white"/>
          <w:lang w:eastAsia="zh-CN"/>
        </w:rPr>
        <w:t>）首次公开发行未上市的股票，采用估值技术确定公允价值；</w:t>
      </w:r>
    </w:p>
    <w:p w:rsidR="00052C6C">
      <w:pPr>
        <w:snapToGrid w:val="0"/>
        <w:ind w:firstLine="480"/>
        <w:rPr>
          <w:rFonts w:ascii="宋体" w:hAnsi="宋体" w:cs="宋体"/>
          <w:sz w:val="24"/>
          <w:lang w:eastAsia="zh-CN"/>
        </w:rPr>
      </w:pPr>
      <w:r>
        <w:rPr>
          <w:rFonts w:ascii="宋体" w:hAnsi="宋体" w:cs="宋体"/>
          <w:sz w:val="24"/>
          <w:highlight w:val="white"/>
          <w:lang w:eastAsia="zh-CN"/>
        </w:rPr>
        <w:t>3</w:t>
      </w:r>
      <w:r>
        <w:rPr>
          <w:rFonts w:ascii="宋体" w:hAnsi="宋体" w:cs="宋体"/>
          <w:sz w:val="24"/>
          <w:highlight w:val="white"/>
          <w:lang w:eastAsia="zh-CN"/>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4</w:t>
      </w:r>
      <w:r>
        <w:rPr>
          <w:rFonts w:ascii="宋体" w:hAnsi="宋体" w:cs="宋体"/>
          <w:sz w:val="24"/>
          <w:highlight w:val="white"/>
          <w:lang w:eastAsia="zh-CN"/>
        </w:rPr>
        <w:t>）对于已上市或已挂牌转让的不含权固定收益品种，选取估值日第三方估值基准服务机构提供的相应品种当日的估值全价进行估值。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5</w:t>
      </w:r>
      <w:r>
        <w:rPr>
          <w:rFonts w:ascii="宋体" w:hAnsi="宋体" w:cs="宋体"/>
          <w:sz w:val="24"/>
          <w:highlight w:val="white"/>
          <w:lang w:eastAsia="zh-CN"/>
        </w:rPr>
        <w:t>）对于已上市或已挂牌转让</w:t>
      </w:r>
      <w:r>
        <w:rPr>
          <w:rFonts w:ascii="宋体" w:hAnsi="宋体" w:cs="宋体"/>
          <w:sz w:val="24"/>
          <w:highlight w:val="white"/>
          <w:lang w:eastAsia="zh-CN"/>
        </w:rPr>
        <w:t>的含权固定收益品种，选取估值日第三方估值基准服务机构提供的相应品种当日的唯一估值全价或推荐估值全价进行估值。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6</w:t>
      </w:r>
      <w:r>
        <w:rPr>
          <w:rFonts w:ascii="宋体" w:hAnsi="宋体" w:cs="宋体"/>
          <w:sz w:val="24"/>
          <w:highlight w:val="white"/>
          <w:lang w:eastAsia="zh-CN"/>
        </w:rPr>
        <w:t>）对于在交易所市场上市交易的公开发行的可转换债券等有活跃市场的含转股权的债券，实行全价交易的债券选取估值日收盘价作为估值全价；实行净价交易的债券选取估值日收盘价并加计</w:t>
      </w:r>
      <w:r>
        <w:rPr>
          <w:rFonts w:ascii="宋体" w:hAnsi="宋体" w:cs="宋体"/>
          <w:sz w:val="24"/>
          <w:highlight w:val="white"/>
          <w:lang w:eastAsia="zh-CN"/>
        </w:rPr>
        <w:t>每百元税前应计利息作为估值全价。</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7</w:t>
      </w:r>
      <w:r>
        <w:rPr>
          <w:rFonts w:ascii="宋体" w:hAnsi="宋体" w:cs="宋体"/>
          <w:sz w:val="24"/>
          <w:highlight w:val="white"/>
          <w:lang w:eastAsia="zh-CN"/>
        </w:rPr>
        <w:t>）对于未上市或未挂牌转让且不存在活跃市场的固定收益品种，采用在当前情况下适用并且有足够可利用数据和其他信息支持的估值技术确定其公允价值。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8</w:t>
      </w:r>
      <w:r>
        <w:rPr>
          <w:rFonts w:ascii="宋体" w:hAnsi="宋体" w:cs="宋体"/>
          <w:sz w:val="24"/>
          <w:highlight w:val="white"/>
          <w:lang w:eastAsia="zh-CN"/>
        </w:rPr>
        <w:t>）期货合约以估值当日结算价进行估值，估值当日无结算价的，且最近交易日后经济环境未发生重大变化的，采用最近交易日结算价估值。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9</w:t>
      </w:r>
      <w:r>
        <w:rPr>
          <w:rFonts w:ascii="宋体" w:hAnsi="宋体" w:cs="宋体"/>
          <w:sz w:val="24"/>
          <w:highlight w:val="white"/>
          <w:lang w:eastAsia="zh-CN"/>
        </w:rPr>
        <w:t>）本基金投资期权，根据相关法律法规以及监管部门的规定估值。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10</w:t>
      </w:r>
      <w:r>
        <w:rPr>
          <w:rFonts w:ascii="宋体" w:hAnsi="宋体" w:cs="宋体"/>
          <w:sz w:val="24"/>
          <w:highlight w:val="white"/>
          <w:lang w:eastAsia="zh-CN"/>
        </w:rPr>
        <w:t>）本基金参与融资业务的，按照相关法律法规、监管部门和行业协会的相关规定进行估值。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11</w:t>
      </w:r>
      <w:r>
        <w:rPr>
          <w:rFonts w:ascii="宋体" w:hAnsi="宋体" w:cs="宋体"/>
          <w:sz w:val="24"/>
          <w:highlight w:val="white"/>
          <w:lang w:eastAsia="zh-CN"/>
        </w:rPr>
        <w:t>）本基金参与转融通证券出借业务的，按照相关法律法规</w:t>
      </w:r>
      <w:r>
        <w:rPr>
          <w:rFonts w:ascii="宋体" w:hAnsi="宋体" w:cs="宋体"/>
          <w:sz w:val="24"/>
          <w:highlight w:val="white"/>
          <w:lang w:eastAsia="zh-CN"/>
        </w:rPr>
        <w:t>和行业协会的相关规定进行估值。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12</w:t>
      </w:r>
      <w:r>
        <w:rPr>
          <w:rFonts w:ascii="宋体" w:hAnsi="宋体" w:cs="宋体"/>
          <w:sz w:val="24"/>
          <w:highlight w:val="white"/>
          <w:lang w:eastAsia="zh-CN"/>
        </w:rPr>
        <w:t>）本基金投资存托凭证的估值核算，依照境内上市交易的股票执行。</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13</w:t>
      </w:r>
      <w:r>
        <w:rPr>
          <w:rFonts w:ascii="宋体" w:hAnsi="宋体" w:cs="宋体"/>
          <w:sz w:val="24"/>
          <w:highlight w:val="white"/>
          <w:lang w:eastAsia="zh-CN"/>
        </w:rPr>
        <w:t>）如有充分理由表明按上述方法进行估值不能客观反映其公允价值的，基金管理人可根据具体情况与基金托管人商定后，按最能反映公允价值的价格估值。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14</w:t>
      </w:r>
      <w:r>
        <w:rPr>
          <w:rFonts w:ascii="宋体" w:hAnsi="宋体" w:cs="宋体"/>
          <w:sz w:val="24"/>
          <w:highlight w:val="white"/>
          <w:lang w:eastAsia="zh-CN"/>
        </w:rPr>
        <w:t>）当发生大额申购或赎回情形时，基金管理人可以采用摆动定价机制，以确保基金估值的公平性。</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15</w:t>
      </w:r>
      <w:r>
        <w:rPr>
          <w:rFonts w:ascii="宋体" w:hAnsi="宋体" w:cs="宋体"/>
          <w:sz w:val="24"/>
          <w:highlight w:val="white"/>
          <w:lang w:eastAsia="zh-CN"/>
        </w:rPr>
        <w:t>）相关法律法规以及监管部门有强制规定的，从其规定。如有新增事项，按国家最新规定估值。</w:t>
      </w:r>
    </w:p>
    <w:p w:rsidR="00052C6C">
      <w:pPr>
        <w:snapToGrid w:val="0"/>
        <w:ind w:firstLine="480"/>
        <w:rPr>
          <w:rFonts w:ascii="宋体" w:hAnsi="宋体" w:cs="宋体"/>
          <w:sz w:val="24"/>
          <w:lang w:eastAsia="zh-CN"/>
        </w:rPr>
      </w:pPr>
      <w:r>
        <w:rPr>
          <w:rFonts w:ascii="宋体" w:hAnsi="宋体" w:cs="宋体"/>
          <w:sz w:val="24"/>
          <w:highlight w:val="white"/>
          <w:lang w:eastAsia="zh-CN"/>
        </w:rPr>
        <w:t>如基金管理人或基金托管人发现基金估值违反基金合同订明的估值方法、程序及相关法律法规</w:t>
      </w:r>
      <w:r>
        <w:rPr>
          <w:rFonts w:ascii="宋体" w:hAnsi="宋体" w:cs="宋体"/>
          <w:sz w:val="24"/>
          <w:highlight w:val="white"/>
          <w:lang w:eastAsia="zh-CN"/>
        </w:rPr>
        <w:t>的规定或者未能充分维护基金份额持有人利益时，应立即通知对方，共同查明原因，双方协商解决。</w:t>
      </w:r>
    </w:p>
    <w:p w:rsidR="00052C6C">
      <w:pPr>
        <w:snapToGrid w:val="0"/>
        <w:ind w:firstLine="480"/>
        <w:rPr>
          <w:rFonts w:ascii="宋体" w:hAnsi="宋体" w:cs="宋体"/>
          <w:sz w:val="24"/>
          <w:lang w:eastAsia="zh-CN"/>
        </w:rPr>
      </w:pPr>
      <w:r>
        <w:rPr>
          <w:rFonts w:ascii="宋体" w:hAnsi="宋体" w:cs="宋体"/>
          <w:sz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资产净值的计算结果对外予以公布。</w:t>
      </w:r>
    </w:p>
    <w:p w:rsidR="00052C6C">
      <w:pPr>
        <w:snapToGrid w:val="0"/>
        <w:ind w:firstLine="480"/>
        <w:rPr>
          <w:rStyle w:val="read"/>
          <w:rFonts w:ascii="宋体" w:hAnsi="宋体" w:cs="宋体"/>
          <w:lang w:eastAsia="zh-CN"/>
        </w:rPr>
      </w:pPr>
      <w:r>
        <w:rPr>
          <w:rStyle w:val="read"/>
          <w:rFonts w:ascii="宋体" w:hAnsi="宋体" w:cs="宋体" w:hint="eastAsia"/>
          <w:sz w:val="24"/>
          <w:highlight w:val="white"/>
          <w:lang w:eastAsia="zh-CN"/>
        </w:rPr>
        <w:t>3.</w:t>
      </w:r>
      <w:r>
        <w:rPr>
          <w:rStyle w:val="read"/>
          <w:rFonts w:ascii="宋体" w:hAnsi="宋体" w:cs="宋体" w:hint="eastAsia"/>
          <w:sz w:val="24"/>
          <w:highlight w:val="white"/>
          <w:lang w:eastAsia="zh-CN"/>
        </w:rPr>
        <w:t>特殊情形的处理</w:t>
      </w:r>
    </w:p>
    <w:p w:rsidR="00052C6C">
      <w:pPr>
        <w:snapToGrid w:val="0"/>
        <w:ind w:firstLine="480"/>
        <w:rPr>
          <w:rStyle w:val="read"/>
          <w:rFonts w:ascii="宋体" w:hAnsi="宋体" w:cs="宋体"/>
          <w:sz w:val="24"/>
          <w:lang w:eastAsia="zh-CN"/>
        </w:rPr>
      </w:pPr>
      <w:r>
        <w:rPr>
          <w:rStyle w:val="read"/>
          <w:rFonts w:ascii="宋体" w:hAnsi="宋体" w:cs="宋体" w:hint="eastAsia"/>
          <w:sz w:val="24"/>
          <w:highlight w:val="white"/>
          <w:lang w:eastAsia="zh-CN"/>
        </w:rPr>
        <w:t>基金管理人、基金托管人按估值方法的第</w:t>
      </w:r>
      <w:r>
        <w:rPr>
          <w:rStyle w:val="read"/>
          <w:rFonts w:ascii="宋体" w:hAnsi="宋体" w:cs="宋体" w:hint="eastAsia"/>
          <w:sz w:val="24"/>
          <w:highlight w:val="white"/>
          <w:lang w:eastAsia="zh-CN"/>
        </w:rPr>
        <w:t>(13)</w:t>
      </w:r>
      <w:r>
        <w:rPr>
          <w:rStyle w:val="read"/>
          <w:rFonts w:ascii="宋体" w:hAnsi="宋体" w:cs="宋体" w:hint="eastAsia"/>
          <w:sz w:val="24"/>
          <w:highlight w:val="white"/>
          <w:lang w:eastAsia="zh-CN"/>
        </w:rPr>
        <w:t>项进行估值时，所造成的误差不作为基金份额净值错误处理。</w:t>
      </w:r>
    </w:p>
    <w:p w:rsidR="00052C6C">
      <w:pPr>
        <w:snapToGrid w:val="0"/>
        <w:ind w:firstLine="480"/>
        <w:rPr>
          <w:rStyle w:val="read"/>
          <w:rFonts w:ascii="宋体" w:hAnsi="宋体" w:cs="宋体"/>
          <w:sz w:val="24"/>
          <w:lang w:eastAsia="zh-CN"/>
        </w:rPr>
      </w:pPr>
      <w:r>
        <w:rPr>
          <w:rStyle w:val="read"/>
          <w:rFonts w:ascii="宋体" w:hAnsi="宋体" w:cs="宋体" w:hint="eastAsia"/>
          <w:sz w:val="24"/>
          <w:highlight w:val="white"/>
          <w:lang w:eastAsia="zh-CN"/>
        </w:rPr>
        <w:t>（</w:t>
      </w:r>
      <w:r>
        <w:rPr>
          <w:rStyle w:val="read"/>
          <w:rFonts w:ascii="宋体" w:hAnsi="宋体" w:cs="宋体" w:hint="eastAsia"/>
          <w:sz w:val="24"/>
          <w:highlight w:val="white"/>
          <w:lang w:eastAsia="zh-CN"/>
        </w:rPr>
        <w:t>三）基金份额净值错误的处理方式</w:t>
      </w:r>
    </w:p>
    <w:p w:rsidR="00052C6C">
      <w:pPr>
        <w:snapToGrid w:val="0"/>
        <w:ind w:firstLine="480"/>
        <w:rPr>
          <w:rStyle w:val="read"/>
          <w:rFonts w:ascii="宋体" w:hAnsi="宋体" w:cs="宋体"/>
          <w:sz w:val="24"/>
          <w:lang w:eastAsia="zh-CN"/>
        </w:rPr>
      </w:pPr>
      <w:r>
        <w:rPr>
          <w:rStyle w:val="read"/>
          <w:rFonts w:ascii="宋体" w:hAnsi="宋体" w:cs="宋体" w:hint="eastAsia"/>
          <w:sz w:val="24"/>
          <w:highlight w:val="white"/>
          <w:lang w:eastAsia="zh-CN"/>
        </w:rPr>
        <w:t>1.</w:t>
      </w:r>
      <w:r>
        <w:rPr>
          <w:rStyle w:val="read"/>
          <w:rFonts w:ascii="宋体" w:hAnsi="宋体" w:cs="宋体" w:hint="eastAsia"/>
          <w:sz w:val="24"/>
          <w:highlight w:val="white"/>
          <w:lang w:eastAsia="zh-CN"/>
        </w:rPr>
        <w:t>当任一类基金份额净值小数点后</w:t>
      </w:r>
      <w:r>
        <w:rPr>
          <w:rStyle w:val="read"/>
          <w:rFonts w:ascii="宋体" w:hAnsi="宋体" w:cs="宋体" w:hint="eastAsia"/>
          <w:sz w:val="24"/>
          <w:highlight w:val="white"/>
          <w:lang w:eastAsia="zh-CN"/>
        </w:rPr>
        <w:t>4</w:t>
      </w:r>
      <w:r>
        <w:rPr>
          <w:rStyle w:val="read"/>
          <w:rFonts w:ascii="宋体" w:hAnsi="宋体" w:cs="宋体" w:hint="eastAsia"/>
          <w:sz w:val="24"/>
          <w:highlight w:val="white"/>
          <w:lang w:eastAsia="zh-CN"/>
        </w:rPr>
        <w:t>位以内</w:t>
      </w:r>
      <w:r>
        <w:rPr>
          <w:rStyle w:val="read"/>
          <w:rFonts w:ascii="宋体" w:hAnsi="宋体" w:cs="宋体" w:hint="eastAsia"/>
          <w:sz w:val="24"/>
          <w:highlight w:val="white"/>
          <w:lang w:eastAsia="zh-CN"/>
        </w:rPr>
        <w:t>(</w:t>
      </w:r>
      <w:r>
        <w:rPr>
          <w:rStyle w:val="read"/>
          <w:rFonts w:ascii="宋体" w:hAnsi="宋体" w:cs="宋体" w:hint="eastAsia"/>
          <w:sz w:val="24"/>
          <w:highlight w:val="white"/>
          <w:lang w:eastAsia="zh-CN"/>
        </w:rPr>
        <w:t>含第</w:t>
      </w:r>
      <w:r>
        <w:rPr>
          <w:rStyle w:val="read"/>
          <w:rFonts w:ascii="宋体" w:hAnsi="宋体" w:cs="宋体" w:hint="eastAsia"/>
          <w:sz w:val="24"/>
          <w:highlight w:val="white"/>
          <w:lang w:eastAsia="zh-CN"/>
        </w:rPr>
        <w:t>4</w:t>
      </w:r>
      <w:r>
        <w:rPr>
          <w:rStyle w:val="read"/>
          <w:rFonts w:ascii="宋体" w:hAnsi="宋体" w:cs="宋体" w:hint="eastAsia"/>
          <w:sz w:val="24"/>
          <w:highlight w:val="white"/>
          <w:lang w:eastAsia="zh-CN"/>
        </w:rPr>
        <w:t>位</w:t>
      </w:r>
      <w:r>
        <w:rPr>
          <w:rStyle w:val="read"/>
          <w:rFonts w:ascii="宋体" w:hAnsi="宋体" w:cs="宋体" w:hint="eastAsia"/>
          <w:sz w:val="24"/>
          <w:highlight w:val="white"/>
          <w:lang w:eastAsia="zh-CN"/>
        </w:rPr>
        <w:t>)</w:t>
      </w:r>
      <w:r>
        <w:rPr>
          <w:rStyle w:val="read"/>
          <w:rFonts w:ascii="宋体" w:hAnsi="宋体" w:cs="宋体" w:hint="eastAsia"/>
          <w:sz w:val="24"/>
          <w:highlight w:val="white"/>
          <w:lang w:eastAsia="zh-CN"/>
        </w:rPr>
        <w:t>发生差错时，视为该类基金份额净值错误；基金份额净值出现错误时，基金管理人应当立即予以纠正，通报基金托管人，并采取合理的措施防止</w:t>
      </w:r>
      <w:r>
        <w:rPr>
          <w:rStyle w:val="read"/>
          <w:rFonts w:ascii="宋体" w:hAnsi="宋体" w:cs="宋体"/>
          <w:sz w:val="24"/>
          <w:highlight w:val="white"/>
          <w:lang w:eastAsia="zh-CN"/>
        </w:rPr>
        <w:t>损失进一步扩大；错误偏差达到</w:t>
      </w:r>
      <w:r>
        <w:rPr>
          <w:rStyle w:val="read"/>
          <w:rFonts w:ascii="宋体" w:hAnsi="宋体" w:cs="宋体" w:hint="eastAsia"/>
          <w:sz w:val="24"/>
          <w:highlight w:val="white"/>
          <w:lang w:eastAsia="zh-CN"/>
        </w:rPr>
        <w:t>该类</w:t>
      </w:r>
      <w:r>
        <w:rPr>
          <w:rStyle w:val="read"/>
          <w:rFonts w:ascii="宋体" w:hAnsi="宋体" w:cs="宋体"/>
          <w:sz w:val="24"/>
          <w:highlight w:val="white"/>
          <w:lang w:eastAsia="zh-CN"/>
        </w:rPr>
        <w:t>基金份额净值的</w:t>
      </w:r>
      <w:r>
        <w:rPr>
          <w:rStyle w:val="read"/>
          <w:rFonts w:ascii="宋体" w:hAnsi="宋体" w:cs="宋体"/>
          <w:sz w:val="24"/>
          <w:highlight w:val="white"/>
          <w:lang w:eastAsia="zh-CN"/>
        </w:rPr>
        <w:t>0.25%</w:t>
      </w:r>
      <w:r>
        <w:rPr>
          <w:rStyle w:val="read"/>
          <w:rFonts w:ascii="宋体" w:hAnsi="宋体" w:cs="宋体"/>
          <w:sz w:val="24"/>
          <w:highlight w:val="white"/>
          <w:lang w:eastAsia="zh-CN"/>
        </w:rPr>
        <w:t>时，基金管理人应当通报基金托管人并报中国证监会备案；错误偏差达到</w:t>
      </w:r>
      <w:r>
        <w:rPr>
          <w:rStyle w:val="read"/>
          <w:rFonts w:ascii="宋体" w:hAnsi="宋体" w:cs="宋体" w:hint="eastAsia"/>
          <w:sz w:val="24"/>
          <w:highlight w:val="white"/>
          <w:lang w:eastAsia="zh-CN"/>
        </w:rPr>
        <w:t>该类</w:t>
      </w:r>
      <w:r>
        <w:rPr>
          <w:rStyle w:val="read"/>
          <w:rFonts w:ascii="宋体" w:hAnsi="宋体" w:cs="宋体"/>
          <w:sz w:val="24"/>
          <w:highlight w:val="white"/>
          <w:lang w:eastAsia="zh-CN"/>
        </w:rPr>
        <w:t>基金份额净值的</w:t>
      </w:r>
      <w:r>
        <w:rPr>
          <w:rStyle w:val="read"/>
          <w:rFonts w:ascii="宋体" w:hAnsi="宋体" w:cs="宋体"/>
          <w:sz w:val="24"/>
          <w:highlight w:val="white"/>
          <w:lang w:eastAsia="zh-CN"/>
        </w:rPr>
        <w:t>0.5%</w:t>
      </w:r>
      <w:r>
        <w:rPr>
          <w:rStyle w:val="read"/>
          <w:rFonts w:ascii="宋体" w:hAnsi="宋体" w:cs="宋体"/>
          <w:sz w:val="24"/>
          <w:highlight w:val="white"/>
          <w:lang w:eastAsia="zh-CN"/>
        </w:rPr>
        <w:t>时，基金管理人应当公告，并报中国证监会备案</w:t>
      </w:r>
      <w:r>
        <w:rPr>
          <w:rStyle w:val="read"/>
          <w:rFonts w:ascii="宋体" w:hAnsi="宋体" w:cs="宋体" w:hint="eastAsia"/>
          <w:sz w:val="24"/>
          <w:highlight w:val="white"/>
          <w:lang w:eastAsia="zh-CN"/>
        </w:rPr>
        <w:t>；当发生净值计算错误时，由基金管理人负责处理，由此给基金份额持有人和基金造</w:t>
      </w:r>
      <w:r>
        <w:rPr>
          <w:rStyle w:val="read"/>
          <w:rFonts w:ascii="宋体" w:hAnsi="宋体" w:cs="宋体"/>
          <w:sz w:val="24"/>
          <w:highlight w:val="white"/>
          <w:lang w:eastAsia="zh-CN"/>
        </w:rPr>
        <w:t>成损失的，应由基金管理人先行赔付，基金管理人按差错情形，有权向其他当事人追偿。</w:t>
      </w:r>
    </w:p>
    <w:p w:rsidR="00052C6C">
      <w:pPr>
        <w:snapToGrid w:val="0"/>
        <w:ind w:firstLine="480"/>
        <w:rPr>
          <w:rStyle w:val="read"/>
          <w:rFonts w:ascii="宋体" w:hAnsi="宋体" w:cs="宋体"/>
          <w:sz w:val="24"/>
          <w:lang w:eastAsia="zh-CN"/>
        </w:rPr>
      </w:pPr>
      <w:r>
        <w:rPr>
          <w:rStyle w:val="read"/>
          <w:rFonts w:ascii="宋体" w:hAnsi="宋体" w:cs="宋体" w:hint="eastAsia"/>
          <w:sz w:val="24"/>
          <w:highlight w:val="white"/>
          <w:lang w:eastAsia="zh-CN"/>
        </w:rPr>
        <w:t>2.</w:t>
      </w:r>
      <w:r>
        <w:rPr>
          <w:rStyle w:val="read"/>
          <w:rFonts w:ascii="宋体" w:hAnsi="宋体" w:cs="宋体" w:hint="eastAsia"/>
          <w:sz w:val="24"/>
          <w:highlight w:val="white"/>
          <w:lang w:eastAsia="zh-CN"/>
        </w:rPr>
        <w:t>当基金份额净值计算差错给基金和基金份额持有人造成损失需要进行赔偿时，基金管理人和基金托管人应根据实际情况界定双方承担的责任，经确认后按以下条款进行赔偿：</w:t>
      </w:r>
    </w:p>
    <w:p w:rsidR="00052C6C">
      <w:pPr>
        <w:snapToGrid w:val="0"/>
        <w:ind w:firstLine="480"/>
        <w:rPr>
          <w:rFonts w:ascii="宋体" w:hAnsi="宋体" w:cs="宋体"/>
          <w:lang w:eastAsia="zh-CN"/>
        </w:rPr>
      </w:pPr>
      <w:bookmarkStart w:id="86" w:name="_GoBack"/>
      <w:r>
        <w:rPr>
          <w:rStyle w:val="read"/>
          <w:rFonts w:ascii="宋体" w:hAnsi="宋体" w:cs="宋体" w:hint="eastAsia"/>
          <w:sz w:val="24"/>
          <w:highlight w:val="white"/>
          <w:lang w:eastAsia="zh-CN"/>
        </w:rPr>
        <w:t>(1)</w:t>
      </w:r>
      <w:bookmarkEnd w:id="86"/>
      <w:r>
        <w:rPr>
          <w:rStyle w:val="read"/>
          <w:rFonts w:ascii="宋体" w:hAnsi="宋体" w:cs="宋体" w:hint="eastAsia"/>
          <w:sz w:val="24"/>
          <w:highlight w:val="white"/>
          <w:lang w:eastAsia="zh-CN"/>
        </w:rPr>
        <w:t>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cs="宋体" w:hint="eastAsia"/>
          <w:sz w:val="24"/>
          <w:highlight w:val="white"/>
          <w:lang w:eastAsia="zh-CN"/>
        </w:rPr>
        <w:t>损失，由基金管理人负责赔付。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2</w:t>
      </w:r>
      <w:r>
        <w:rPr>
          <w:rFonts w:ascii="宋体" w:hAnsi="宋体" w:cs="宋体" w:hint="eastAsia"/>
          <w:sz w:val="24"/>
          <w:highlight w:val="white"/>
          <w:lang w:eastAsia="zh-CN"/>
        </w:rPr>
        <w:t>)</w:t>
      </w:r>
      <w:r>
        <w:rPr>
          <w:rFonts w:ascii="宋体" w:hAnsi="宋体" w:cs="宋体" w:hint="eastAsia"/>
          <w:sz w:val="24"/>
          <w:highlight w:val="white"/>
          <w:lang w:eastAsia="zh-CN"/>
        </w:rPr>
        <w:t>若基金</w:t>
      </w:r>
      <w:r>
        <w:rPr>
          <w:rFonts w:ascii="宋体" w:hAnsi="宋体" w:cs="宋体" w:hint="eastAsia"/>
          <w:sz w:val="24"/>
          <w:highlight w:val="white"/>
          <w:lang w:eastAsia="zh-CN"/>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3</w:t>
      </w:r>
      <w:r>
        <w:rPr>
          <w:rFonts w:ascii="宋体" w:hAnsi="宋体" w:cs="宋体" w:hint="eastAsia"/>
          <w:sz w:val="24"/>
          <w:highlight w:val="white"/>
          <w:lang w:eastAsia="zh-CN"/>
        </w:rPr>
        <w:t>)</w:t>
      </w:r>
      <w:r>
        <w:rPr>
          <w:rFonts w:ascii="宋体" w:hAnsi="宋体" w:cs="宋体" w:hint="eastAsia"/>
          <w:sz w:val="24"/>
          <w:highlight w:val="white"/>
          <w:lang w:eastAsia="zh-CN"/>
        </w:rPr>
        <w:t>如基金管理人和基金托管人对各类基金份额净值的计算结果，虽然多次重新计算和核对，尚不能达成一致时，为避免不能按时公布各类基金份额净值的情形，以基金管理人的计算结果对外公布，由此给基金份额持有人和基</w:t>
      </w:r>
      <w:r>
        <w:rPr>
          <w:rFonts w:ascii="宋体" w:hAnsi="宋体" w:cs="宋体" w:hint="eastAsia"/>
          <w:sz w:val="24"/>
          <w:highlight w:val="white"/>
          <w:lang w:eastAsia="zh-CN"/>
        </w:rPr>
        <w:t>金造成的损失，由基金管理人负责赔付。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4</w:t>
      </w:r>
      <w:r>
        <w:rPr>
          <w:rFonts w:ascii="宋体" w:hAnsi="宋体" w:cs="宋体" w:hint="eastAsia"/>
          <w:sz w:val="24"/>
          <w:highlight w:val="white"/>
          <w:lang w:eastAsia="zh-CN"/>
        </w:rPr>
        <w:t>)</w:t>
      </w:r>
      <w:r>
        <w:rPr>
          <w:rFonts w:ascii="宋体" w:hAnsi="宋体" w:cs="宋体" w:hint="eastAsia"/>
          <w:sz w:val="24"/>
          <w:highlight w:val="white"/>
          <w:lang w:eastAsia="zh-CN"/>
        </w:rPr>
        <w:t>由于基金管理人提供的信息错误（包括但不限于基金申购或赎回金额等），进而导致基金份额净值计算错误而引起的基金份额持有人和基金财产的损失，由基金管理人负责赔付。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w:t>
      </w:r>
      <w:r>
        <w:rPr>
          <w:rFonts w:ascii="宋体" w:hAnsi="宋体" w:cs="宋体" w:hint="eastAsia"/>
          <w:sz w:val="24"/>
          <w:highlight w:val="white"/>
          <w:lang w:eastAsia="zh-CN"/>
        </w:rPr>
        <w:t>基金管理人、基金托管人应当积极采取必要的措施消除或减轻由此造成的影响。</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hint="eastAsia"/>
          <w:sz w:val="24"/>
          <w:highlight w:val="white"/>
          <w:lang w:eastAsia="zh-CN"/>
        </w:rPr>
        <w:t>基金管理人和基金托管人由于各自技术系统设置而产生的净值计算尾差，以基金管理人计算结果为准。</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5.</w:t>
      </w:r>
      <w:r>
        <w:rPr>
          <w:rFonts w:ascii="宋体" w:hAnsi="宋体" w:cs="宋体" w:hint="eastAsia"/>
          <w:sz w:val="24"/>
          <w:highlight w:val="white"/>
          <w:lang w:eastAsia="zh-CN"/>
        </w:rPr>
        <w:t>前述内容如法律法规或者监管部门另有规定的，从其规定。如果行业另有通行做法，双方当事人应本着平等和保护基金份额持有人利益的原则进行协商。</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（四）暂停估值与公告基金份额净值的情形</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基金投资所涉及的证券交易市场遇法定节假日或因其他原因暂停营业时；</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因不可抗力致使基金管理人、基金托管人无法准确评估基金资产价值时；</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当特定资产占前一估值</w:t>
      </w:r>
      <w:r>
        <w:rPr>
          <w:rFonts w:ascii="宋体" w:hAnsi="宋体" w:cs="宋体" w:hint="eastAsia"/>
          <w:sz w:val="24"/>
          <w:highlight w:val="white"/>
          <w:lang w:eastAsia="zh-CN"/>
        </w:rPr>
        <w:t>日基金资产净值</w:t>
      </w:r>
      <w:r>
        <w:rPr>
          <w:rFonts w:ascii="宋体" w:hAnsi="宋体" w:cs="宋体" w:hint="eastAsia"/>
          <w:sz w:val="24"/>
          <w:highlight w:val="white"/>
          <w:lang w:eastAsia="zh-CN"/>
        </w:rPr>
        <w:t>50%</w:t>
      </w:r>
      <w:r>
        <w:rPr>
          <w:rFonts w:ascii="宋体" w:hAnsi="宋体" w:cs="宋体" w:hint="eastAsia"/>
          <w:sz w:val="24"/>
          <w:highlight w:val="white"/>
          <w:lang w:eastAsia="zh-CN"/>
        </w:rPr>
        <w:t>以上的，经与基金托管人协商确认后，基金管理人应当暂停估值；</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4</w:t>
      </w:r>
      <w:r>
        <w:rPr>
          <w:rFonts w:ascii="宋体" w:hAnsi="宋体" w:cs="宋体"/>
          <w:sz w:val="24"/>
          <w:highlight w:val="white"/>
          <w:lang w:eastAsia="zh-CN"/>
        </w:rPr>
        <w:t>.</w:t>
      </w:r>
      <w:r>
        <w:rPr>
          <w:rFonts w:ascii="宋体" w:hAnsi="宋体" w:cs="宋体" w:hint="eastAsia"/>
          <w:sz w:val="24"/>
          <w:highlight w:val="white"/>
          <w:lang w:eastAsia="zh-CN"/>
        </w:rPr>
        <w:t>基金所投资的目标</w:t>
      </w:r>
      <w:r>
        <w:rPr>
          <w:rFonts w:ascii="宋体" w:hAnsi="宋体" w:cs="宋体" w:hint="eastAsia"/>
          <w:sz w:val="24"/>
          <w:highlight w:val="white"/>
          <w:lang w:eastAsia="zh-CN"/>
        </w:rPr>
        <w:t>ETF</w:t>
      </w:r>
      <w:r>
        <w:rPr>
          <w:rFonts w:ascii="宋体" w:hAnsi="宋体" w:cs="宋体" w:hint="eastAsia"/>
          <w:sz w:val="24"/>
          <w:highlight w:val="white"/>
          <w:lang w:eastAsia="zh-CN"/>
        </w:rPr>
        <w:t>发生暂停估值、暂停公告基金份额净值的情形；</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5</w:t>
      </w:r>
      <w:r>
        <w:rPr>
          <w:rFonts w:ascii="宋体" w:hAnsi="宋体" w:cs="宋体"/>
          <w:sz w:val="24"/>
          <w:highlight w:val="white"/>
          <w:lang w:eastAsia="zh-CN"/>
        </w:rPr>
        <w:t>.</w:t>
      </w:r>
      <w:r>
        <w:rPr>
          <w:rFonts w:ascii="宋体" w:hAnsi="宋体" w:cs="宋体" w:hint="eastAsia"/>
          <w:sz w:val="24"/>
          <w:highlight w:val="white"/>
          <w:lang w:eastAsia="zh-CN"/>
        </w:rPr>
        <w:t>中国证监会和基金合同认定的其它情形。</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（五）基金会计制度</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按国家有关部门规定的会计制度执行。</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（六）基金账册的建立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w:t>
      </w:r>
      <w:r>
        <w:rPr>
          <w:rFonts w:ascii="宋体" w:hAnsi="宋体" w:cs="宋体" w:hint="eastAsia"/>
          <w:sz w:val="24"/>
          <w:highlight w:val="white"/>
          <w:lang w:eastAsia="zh-CN"/>
        </w:rPr>
        <w:t>资产净值的计算和公告的，以基金管理人的账册为准。</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（七）基金财务报表与报告的编制和复核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财务报表的编制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基金财务报表由基金管理人编制，基金托管人复核。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报表复核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基金托管人在收到基金管理人编制的基金财务报表后，进行独立的复核。核对不符时，应及时通知基金管理人共同查出原因，进行调整，直至双方数据完全一致。</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财务报表的编制与复核时间安排</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报表的编制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基金管理人应当在每月结束后</w:t>
      </w:r>
      <w:r>
        <w:rPr>
          <w:rFonts w:ascii="宋体" w:hAnsi="宋体" w:cs="宋体" w:hint="eastAsia"/>
          <w:sz w:val="24"/>
          <w:highlight w:val="white"/>
          <w:lang w:eastAsia="zh-CN"/>
        </w:rPr>
        <w:t>5</w:t>
      </w:r>
      <w:r>
        <w:rPr>
          <w:rFonts w:ascii="宋体" w:hAnsi="宋体" w:cs="宋体" w:hint="eastAsia"/>
          <w:sz w:val="24"/>
          <w:highlight w:val="white"/>
          <w:lang w:eastAsia="zh-CN"/>
        </w:rPr>
        <w:t>个工作日内完成月度报表的编制；在每个季度结束之日起</w:t>
      </w:r>
      <w:r>
        <w:rPr>
          <w:rFonts w:ascii="宋体" w:hAnsi="宋体" w:cs="宋体" w:hint="eastAsia"/>
          <w:sz w:val="24"/>
          <w:highlight w:val="white"/>
          <w:lang w:eastAsia="zh-CN"/>
        </w:rPr>
        <w:t>15</w:t>
      </w:r>
      <w:r>
        <w:rPr>
          <w:rFonts w:ascii="宋体" w:hAnsi="宋体" w:cs="宋体" w:hint="eastAsia"/>
          <w:sz w:val="24"/>
          <w:highlight w:val="white"/>
          <w:lang w:eastAsia="zh-CN"/>
        </w:rPr>
        <w:t>个工作日内完成基金季度报告的编制；在上半年结束之日起</w:t>
      </w:r>
      <w:r>
        <w:rPr>
          <w:rFonts w:ascii="宋体" w:hAnsi="宋体" w:cs="宋体" w:hint="eastAsia"/>
          <w:sz w:val="24"/>
          <w:highlight w:val="white"/>
          <w:lang w:eastAsia="zh-CN"/>
        </w:rPr>
        <w:t>2</w:t>
      </w:r>
      <w:r>
        <w:rPr>
          <w:rFonts w:ascii="宋体" w:hAnsi="宋体" w:cs="宋体" w:hint="eastAsia"/>
          <w:sz w:val="24"/>
          <w:highlight w:val="white"/>
          <w:lang w:eastAsia="zh-CN"/>
        </w:rPr>
        <w:t>个月内完成基金中期报告的编制；在每年结束之日起</w:t>
      </w:r>
      <w:r>
        <w:rPr>
          <w:rFonts w:ascii="宋体" w:hAnsi="宋体" w:cs="宋体" w:hint="eastAsia"/>
          <w:sz w:val="24"/>
          <w:highlight w:val="white"/>
          <w:lang w:eastAsia="zh-CN"/>
        </w:rPr>
        <w:t>3</w:t>
      </w:r>
      <w:r>
        <w:rPr>
          <w:rFonts w:ascii="宋体" w:hAnsi="宋体" w:cs="宋体" w:hint="eastAsia"/>
          <w:sz w:val="24"/>
          <w:highlight w:val="white"/>
          <w:lang w:eastAsia="zh-CN"/>
        </w:rPr>
        <w:t>个月内完成基金年度报告的编制。基金年度报告的财务会计报告应当经过符合《证券法》规定的会计师事务所审计。《基金合同》生效不足两个月的，基金管理人可以不编制当期季度报告、中期报告或者年度报告。</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2</w:t>
      </w:r>
      <w:r>
        <w:rPr>
          <w:rFonts w:ascii="宋体" w:hAnsi="宋体" w:cs="宋体" w:hint="eastAsia"/>
          <w:sz w:val="24"/>
          <w:highlight w:val="white"/>
          <w:lang w:eastAsia="zh-CN"/>
        </w:rPr>
        <w:t>)</w:t>
      </w:r>
      <w:r>
        <w:rPr>
          <w:rFonts w:ascii="宋体" w:hAnsi="宋体" w:cs="宋体" w:hint="eastAsia"/>
          <w:sz w:val="24"/>
          <w:highlight w:val="white"/>
          <w:lang w:eastAsia="zh-CN"/>
        </w:rPr>
        <w:t>报表的复核</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基金管理人应及时完成报表编制，将有关报表提供基金托管人复核；基金托管人在复核过程中，发现双方的报表存在不符时，基金管理人</w:t>
      </w:r>
      <w:r>
        <w:rPr>
          <w:rFonts w:ascii="宋体" w:hAnsi="宋体" w:cs="宋体" w:hint="eastAsia"/>
          <w:sz w:val="24"/>
          <w:highlight w:val="white"/>
          <w:lang w:eastAsia="zh-CN"/>
        </w:rPr>
        <w:t>和基金托管人应共同查明原因，进行调整，调整以国家有关规定为准。</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基金管理人应留足充分的时间，便于基金托管人复核相关报表及报告。</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（八）基金管理人应在编制季度报告、中期报告或者年度报告之前及时向基金托管人提供基金业绩比较基准的基础数据和编制结果。</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（九）实施侧袋机制期间的基金资产估值</w:t>
      </w:r>
    </w:p>
    <w:p w:rsidR="00052C6C">
      <w:pPr>
        <w:pStyle w:val="NormalIndent"/>
        <w:snapToGrid w:val="0"/>
        <w:ind w:firstLine="480"/>
        <w:rPr>
          <w:rFonts w:ascii="宋体" w:hAnsi="宋体" w:cs="宋体"/>
          <w:sz w:val="24"/>
          <w:lang w:eastAsia="zh-CN"/>
        </w:rPr>
      </w:pPr>
      <w:r>
        <w:rPr>
          <w:rFonts w:ascii="宋体" w:hAnsi="宋体" w:cs="宋体" w:hint="eastAsia"/>
          <w:sz w:val="24"/>
          <w:highlight w:val="white"/>
          <w:lang w:eastAsia="zh-CN"/>
        </w:rPr>
        <w:t>本基金实施侧袋机制的，应根据本部分的约定对主袋账户资产进行估值并披露主袋账户的基金资产净值和份额净值，暂停披露侧袋账户份额净值。</w:t>
      </w:r>
    </w:p>
    <w:p w:rsidR="00052C6C">
      <w:pPr>
        <w:pStyle w:val="NormalIndent"/>
        <w:snapToGrid w:val="0"/>
        <w:ind w:firstLine="480"/>
        <w:rPr>
          <w:rFonts w:ascii="宋体" w:hAnsi="宋体" w:cs="宋体"/>
          <w:sz w:val="24"/>
          <w:lang w:eastAsia="zh-CN"/>
        </w:rPr>
      </w:pPr>
      <w:r>
        <w:rPr>
          <w:rFonts w:ascii="宋体" w:hAnsi="宋体" w:cs="宋体"/>
          <w:sz w:val="24"/>
          <w:highlight w:val="white"/>
          <w:lang w:eastAsia="zh-CN"/>
        </w:rPr>
        <w:tab/>
      </w:r>
    </w:p>
    <w:p w:rsidR="00052C6C">
      <w:pPr>
        <w:pStyle w:val="21"/>
        <w:jc w:val="center"/>
        <w:rPr>
          <w:rFonts w:ascii="宋体" w:eastAsia="宋体" w:hAnsi="宋体" w:cs="宋体"/>
          <w:sz w:val="30"/>
          <w:lang w:eastAsia="zh-CN"/>
        </w:rPr>
      </w:pPr>
      <w:bookmarkStart w:id="87" w:name="_Toc164350594"/>
      <w:r>
        <w:rPr>
          <w:rFonts w:ascii="宋体" w:eastAsia="宋体" w:hAnsi="宋体" w:cs="宋体" w:hint="eastAsia"/>
          <w:sz w:val="30"/>
          <w:highlight w:val="white"/>
          <w:lang w:eastAsia="zh-CN"/>
        </w:rPr>
        <w:t>九、基金收益分配</w:t>
      </w:r>
      <w:bookmarkEnd w:id="87"/>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（一）基金收益分配的原则</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基金收益分配应遵循下列原则：</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在符合有关基金分红条件的前提下，基金管理人可以根据实际情况进行收益分配，具体分配方案以公告为准，若《基金合同》生效不满</w:t>
      </w:r>
      <w:r>
        <w:rPr>
          <w:rFonts w:ascii="宋体" w:hAnsi="宋体" w:cs="宋体" w:hint="eastAsia"/>
          <w:sz w:val="24"/>
          <w:highlight w:val="white"/>
          <w:lang w:eastAsia="zh-CN"/>
        </w:rPr>
        <w:t>3</w:t>
      </w:r>
      <w:r>
        <w:rPr>
          <w:rFonts w:ascii="宋体" w:hAnsi="宋体" w:cs="宋体" w:hint="eastAsia"/>
          <w:sz w:val="24"/>
          <w:highlight w:val="white"/>
          <w:lang w:eastAsia="zh-CN"/>
        </w:rPr>
        <w:t>个月可不进行收益分配；</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本基金各基金份额类别在费用收取上不同，其对应的可分配收益可能有所不同。同一类别的每一基金份额享有同等分配权；</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4</w:t>
      </w:r>
      <w:r>
        <w:rPr>
          <w:rFonts w:ascii="宋体" w:hAnsi="宋体" w:cs="宋体"/>
          <w:sz w:val="24"/>
          <w:highlight w:val="white"/>
          <w:lang w:eastAsia="zh-CN"/>
        </w:rPr>
        <w:t>.</w:t>
      </w:r>
      <w:r>
        <w:rPr>
          <w:rFonts w:ascii="宋体" w:hAnsi="宋体" w:cs="宋体" w:hint="eastAsia"/>
          <w:sz w:val="24"/>
          <w:highlight w:val="white"/>
          <w:lang w:eastAsia="zh-CN"/>
        </w:rPr>
        <w:t>在对基金份额持有人利益无实质不利影响的前提下，基金管理人与基金托管人协商一</w:t>
      </w:r>
      <w:r>
        <w:rPr>
          <w:rFonts w:ascii="宋体" w:hAnsi="宋体" w:cs="宋体" w:hint="eastAsia"/>
          <w:sz w:val="24"/>
          <w:highlight w:val="white"/>
          <w:lang w:eastAsia="zh-CN"/>
        </w:rPr>
        <w:t>致后，可调整基金收益的分配原则和支付方式，不需召开基金份额持有人大会审议；</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5</w:t>
      </w:r>
      <w:r>
        <w:rPr>
          <w:rFonts w:ascii="宋体" w:hAnsi="宋体" w:cs="宋体"/>
          <w:sz w:val="24"/>
          <w:highlight w:val="white"/>
          <w:lang w:eastAsia="zh-CN"/>
        </w:rPr>
        <w:t>.</w:t>
      </w:r>
      <w:r>
        <w:rPr>
          <w:rFonts w:ascii="宋体" w:hAnsi="宋体" w:cs="宋体" w:hint="eastAsia"/>
          <w:sz w:val="24"/>
          <w:highlight w:val="white"/>
          <w:lang w:eastAsia="zh-CN"/>
        </w:rPr>
        <w:t>法律法规或监管机关另有规定的，从其规定。</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（二）基金收益分配的时间和程序</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本基金收益分配方案由基金管理人拟定，并由基金托管人复核，在</w:t>
      </w:r>
      <w:r>
        <w:rPr>
          <w:rFonts w:ascii="宋体" w:hAnsi="宋体" w:cs="宋体" w:hint="eastAsia"/>
          <w:sz w:val="24"/>
          <w:highlight w:val="white"/>
          <w:lang w:eastAsia="zh-CN"/>
        </w:rPr>
        <w:t>2</w:t>
      </w:r>
      <w:r>
        <w:rPr>
          <w:rFonts w:ascii="宋体" w:hAnsi="宋体" w:cs="宋体" w:hint="eastAsia"/>
          <w:sz w:val="24"/>
          <w:highlight w:val="white"/>
          <w:lang w:eastAsia="zh-CN"/>
        </w:rPr>
        <w:t>日内在规定媒介公告。基金收益分配方案公告后</w:t>
      </w:r>
      <w:r>
        <w:rPr>
          <w:rFonts w:ascii="宋体" w:hAnsi="宋体" w:cs="宋体" w:hint="eastAsia"/>
          <w:sz w:val="24"/>
          <w:highlight w:val="white"/>
          <w:lang w:eastAsia="zh-CN"/>
        </w:rPr>
        <w:t>(</w:t>
      </w:r>
      <w:r>
        <w:rPr>
          <w:rFonts w:ascii="宋体" w:hAnsi="宋体" w:cs="宋体" w:hint="eastAsia"/>
          <w:sz w:val="24"/>
          <w:highlight w:val="white"/>
          <w:lang w:eastAsia="zh-CN"/>
        </w:rPr>
        <w:t>依据具体方案的规定</w:t>
      </w:r>
      <w:r>
        <w:rPr>
          <w:rFonts w:ascii="宋体" w:hAnsi="宋体" w:cs="宋体" w:hint="eastAsia"/>
          <w:sz w:val="24"/>
          <w:highlight w:val="white"/>
          <w:lang w:eastAsia="zh-CN"/>
        </w:rPr>
        <w:t>)</w:t>
      </w:r>
      <w:r>
        <w:rPr>
          <w:rFonts w:ascii="宋体" w:hAnsi="宋体" w:cs="宋体" w:hint="eastAsia"/>
          <w:sz w:val="24"/>
          <w:highlight w:val="white"/>
          <w:lang w:eastAsia="zh-CN"/>
        </w:rPr>
        <w:t>，基金管理人就支付的现金红利向基金托管人发送划款指令，基金托管人按照基金管理人的指令及时进行分红资金的划付。</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基金收益分配时所发生的银行转账或其他手续费用由投资者自行承担。当投资者的现金红利小于一定金额，不足以支付银行转账或其他手续费</w:t>
      </w:r>
      <w:r>
        <w:rPr>
          <w:rFonts w:ascii="宋体" w:hAnsi="宋体" w:cs="宋体" w:hint="eastAsia"/>
          <w:sz w:val="24"/>
          <w:highlight w:val="white"/>
          <w:lang w:eastAsia="zh-CN"/>
        </w:rPr>
        <w:t>用时，基金登记机构可将基金份额持有人的现金红利自动转为对应类别的基金份额。红利再投资的计算方法，依照《</w:t>
      </w:r>
      <w:r>
        <w:rPr>
          <w:rFonts w:ascii="宋体" w:hAnsi="宋体" w:cs="宋体"/>
          <w:sz w:val="24"/>
          <w:highlight w:val="white"/>
          <w:lang w:eastAsia="zh-CN"/>
        </w:rPr>
        <w:t>易方达基金管理有限公司开放式基金业务规则</w:t>
      </w:r>
      <w:r>
        <w:rPr>
          <w:rFonts w:ascii="宋体" w:hAnsi="宋体" w:cs="宋体" w:hint="eastAsia"/>
          <w:sz w:val="24"/>
          <w:highlight w:val="white"/>
          <w:lang w:eastAsia="zh-CN"/>
        </w:rPr>
        <w:t>》执行。</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（三）实施侧袋机制期间的收益分配</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本基金实施侧袋机制的，侧袋账户不进行收益分配，详见招募说明书的规定。</w:t>
      </w:r>
    </w:p>
    <w:p w:rsidR="00052C6C">
      <w:pPr>
        <w:snapToGrid w:val="0"/>
        <w:rPr>
          <w:rFonts w:ascii="宋体" w:hAnsi="宋体" w:cs="宋体"/>
          <w:sz w:val="24"/>
          <w:lang w:eastAsia="zh-CN"/>
        </w:rPr>
      </w:pPr>
    </w:p>
    <w:p w:rsidR="00052C6C">
      <w:pPr>
        <w:pStyle w:val="21"/>
        <w:jc w:val="center"/>
        <w:rPr>
          <w:rFonts w:ascii="宋体" w:eastAsia="宋体" w:hAnsi="宋体" w:cs="宋体"/>
          <w:sz w:val="30"/>
          <w:lang w:eastAsia="zh-CN"/>
        </w:rPr>
      </w:pPr>
      <w:bookmarkStart w:id="88" w:name="_Toc164350595"/>
      <w:r>
        <w:rPr>
          <w:rFonts w:ascii="宋体" w:eastAsia="宋体" w:hAnsi="宋体" w:cs="宋体" w:hint="eastAsia"/>
          <w:sz w:val="30"/>
          <w:highlight w:val="white"/>
          <w:lang w:eastAsia="zh-CN"/>
        </w:rPr>
        <w:t>十、基金信息披露</w:t>
      </w:r>
      <w:bookmarkEnd w:id="88"/>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（一）保密义务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w:t>
      </w:r>
      <w:r>
        <w:rPr>
          <w:rFonts w:ascii="宋体" w:hAnsi="宋体" w:cs="宋体" w:hint="eastAsia"/>
          <w:sz w:val="24"/>
          <w:highlight w:val="white"/>
          <w:lang w:eastAsia="zh-CN"/>
        </w:rPr>
        <w:t>人和基金托管人对基金运作中产生的信息以及从对方获得的业务信息应予保密。但是，如下情况不应视为基金管理人或基金托管人违反保密义务：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非因基金管理人和基金托管人的原因导致保密信息被披露、泄露或公开；</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基金管理人和基金托管人为遵守和服从法院判决或裁定、仲裁裁决或中国证监会等监管机构的命令、决定所做出的信息披露或公开。</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（二）信息披露的内容</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报告、基金份额持有人大会决议、</w:t>
      </w:r>
      <w:r>
        <w:rPr>
          <w:rFonts w:ascii="宋体" w:hAnsi="宋体" w:cs="宋体"/>
          <w:color w:val="000000"/>
          <w:sz w:val="24"/>
          <w:highlight w:val="white"/>
          <w:lang w:eastAsia="zh-CN"/>
        </w:rPr>
        <w:t>实施侧袋机制期间的信息披露、</w:t>
      </w:r>
      <w:r>
        <w:rPr>
          <w:rFonts w:ascii="宋体" w:hAnsi="宋体" w:cs="宋体"/>
          <w:sz w:val="24"/>
          <w:highlight w:val="white"/>
          <w:lang w:eastAsia="zh-CN"/>
        </w:rPr>
        <w:t>中国证监会规定的</w:t>
      </w:r>
      <w:r>
        <w:rPr>
          <w:rFonts w:ascii="宋体" w:hAnsi="宋体" w:cs="宋体" w:hint="eastAsia"/>
          <w:sz w:val="24"/>
          <w:highlight w:val="white"/>
          <w:lang w:eastAsia="zh-CN"/>
        </w:rPr>
        <w:t>其他信息。基金年度报告中的财务会计报告需经符合《证券法》规定的会计师事务所审计后，方可披露。</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（三）基金托管人和基金管理人在信息披露中的职责和信息披露程序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职责</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对于不需要基金托管人复核的信息，基金管理人在公告前应告知基金托管人。</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基金管理人和基金托管人应积极配合、互相监督，保证其履行按照法定方式和限时披露的义务。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基金管理人、基金托管人应当在中国证监会规定的时间内，将应予披露的基金信息</w:t>
      </w:r>
      <w:r>
        <w:rPr>
          <w:rFonts w:ascii="宋体" w:hAnsi="宋体" w:cs="宋体" w:hint="eastAsia"/>
          <w:sz w:val="24"/>
          <w:highlight w:val="white"/>
          <w:lang w:eastAsia="zh-CN"/>
        </w:rPr>
        <w:t>通过规定媒介披露。</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当出现下述情况时，基金管理人和基金托管人可暂停或延迟披露基金相关信息：</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不可抗力；</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2</w:t>
      </w:r>
      <w:r>
        <w:rPr>
          <w:rFonts w:ascii="宋体" w:hAnsi="宋体" w:cs="宋体" w:hint="eastAsia"/>
          <w:sz w:val="24"/>
          <w:highlight w:val="white"/>
          <w:lang w:eastAsia="zh-CN"/>
        </w:rPr>
        <w:t>)</w:t>
      </w:r>
      <w:r>
        <w:rPr>
          <w:rFonts w:ascii="宋体" w:hAnsi="宋体" w:cs="宋体" w:hint="eastAsia"/>
          <w:sz w:val="24"/>
          <w:highlight w:val="white"/>
          <w:lang w:eastAsia="zh-CN"/>
        </w:rPr>
        <w:t>基金投资所涉及的证券交易市场遇法定节假日或因其他原因暂停营业时；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3</w:t>
      </w:r>
      <w:r>
        <w:rPr>
          <w:rFonts w:ascii="宋体" w:hAnsi="宋体" w:cs="宋体" w:hint="eastAsia"/>
          <w:sz w:val="24"/>
          <w:highlight w:val="white"/>
          <w:lang w:eastAsia="zh-CN"/>
        </w:rPr>
        <w:t>)</w:t>
      </w:r>
      <w:r>
        <w:rPr>
          <w:rFonts w:ascii="宋体" w:hAnsi="宋体" w:cs="宋体" w:hint="eastAsia"/>
          <w:sz w:val="24"/>
          <w:highlight w:val="white"/>
          <w:lang w:eastAsia="zh-CN"/>
        </w:rPr>
        <w:t>出现基金管理人认为属于会导致基金管理人不能出售或评估基金资产的紧急事故的任何情况；</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4</w:t>
      </w:r>
      <w:r>
        <w:rPr>
          <w:rFonts w:ascii="宋体" w:hAnsi="宋体" w:cs="宋体" w:hint="eastAsia"/>
          <w:sz w:val="24"/>
          <w:highlight w:val="white"/>
          <w:lang w:eastAsia="zh-CN"/>
        </w:rPr>
        <w:t>)</w:t>
      </w:r>
      <w:r>
        <w:rPr>
          <w:rFonts w:ascii="宋体" w:hAnsi="宋体" w:cs="宋体" w:hint="eastAsia"/>
          <w:sz w:val="24"/>
          <w:highlight w:val="white"/>
          <w:lang w:eastAsia="zh-CN"/>
        </w:rPr>
        <w:t>法律法规、《基金合同》或中国证监会规定的情况。</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按有关规定须经基金托管人复核的信息披露文件，由基金管理人起草、并经基金托管人复核后由基金管理人公告。发生《基金合同》中规定需要披露的事项时，按《基金合同》规定公布。</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信息文</w:t>
      </w:r>
      <w:r>
        <w:rPr>
          <w:rFonts w:ascii="宋体" w:hAnsi="宋体" w:cs="宋体" w:hint="eastAsia"/>
          <w:sz w:val="24"/>
          <w:highlight w:val="white"/>
          <w:lang w:eastAsia="zh-CN"/>
        </w:rPr>
        <w:t>本的存放</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予以披露的信息文本，存放在基金管理人</w:t>
      </w:r>
      <w:r>
        <w:rPr>
          <w:rFonts w:ascii="宋体" w:hAnsi="宋体" w:cs="宋体" w:hint="eastAsia"/>
          <w:sz w:val="24"/>
          <w:highlight w:val="white"/>
          <w:lang w:eastAsia="zh-CN"/>
        </w:rPr>
        <w:t>/</w:t>
      </w:r>
      <w:r>
        <w:rPr>
          <w:rFonts w:ascii="宋体" w:hAnsi="宋体" w:cs="宋体" w:hint="eastAsia"/>
          <w:sz w:val="24"/>
          <w:highlight w:val="white"/>
          <w:lang w:eastAsia="zh-CN"/>
        </w:rPr>
        <w:t>基金托管人办公场所，投资者可以免费查阅。在支付工本费后可在合理时间获得上述文件的复制件或复印件。基金管理人和基金托管人应保证文本的内容与所公告的内容完全一致。</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相关法律法规关于信息披露的规定发生变化时，本基金从其最新规定。</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（四）实施侧袋机制期间的信息披露</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本基金实施侧袋机制的，相关信息披露义务人应当根据法律法规、基金合同和招募说明书的规定进行信息披露，详见招募说明书的规定。</w:t>
      </w:r>
    </w:p>
    <w:p w:rsidR="00052C6C">
      <w:pPr>
        <w:pStyle w:val="NormalIndent"/>
        <w:ind w:firstLine="0"/>
        <w:rPr>
          <w:rFonts w:ascii="宋体" w:hAnsi="宋体" w:cs="宋体"/>
          <w:sz w:val="24"/>
          <w:lang w:eastAsia="zh-CN"/>
        </w:rPr>
      </w:pPr>
    </w:p>
    <w:p w:rsidR="00052C6C">
      <w:pPr>
        <w:pStyle w:val="21"/>
        <w:jc w:val="center"/>
        <w:rPr>
          <w:rFonts w:ascii="宋体" w:eastAsia="宋体" w:hAnsi="宋体" w:cs="宋体"/>
          <w:sz w:val="30"/>
          <w:lang w:eastAsia="zh-CN"/>
        </w:rPr>
      </w:pPr>
      <w:bookmarkStart w:id="89" w:name="_Toc164350596"/>
      <w:r>
        <w:rPr>
          <w:rFonts w:ascii="宋体" w:eastAsia="宋体" w:hAnsi="宋体" w:cs="宋体" w:hint="eastAsia"/>
          <w:sz w:val="30"/>
          <w:highlight w:val="white"/>
          <w:lang w:eastAsia="zh-CN"/>
        </w:rPr>
        <w:t>十一、基金费用</w:t>
      </w:r>
      <w:bookmarkEnd w:id="89"/>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（一）基金管理费的计提比例和计提方法</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本基金的管理费按前一日基金资</w:t>
      </w:r>
      <w:r>
        <w:rPr>
          <w:rFonts w:ascii="宋体" w:hAnsi="宋体" w:cs="宋体" w:hint="eastAsia"/>
          <w:sz w:val="24"/>
          <w:highlight w:val="white"/>
          <w:lang w:eastAsia="zh-CN"/>
        </w:rPr>
        <w:t>产净值扣除前一日所持有目标</w:t>
      </w:r>
      <w:r>
        <w:rPr>
          <w:rFonts w:ascii="宋体" w:hAnsi="宋体" w:cs="宋体" w:hint="eastAsia"/>
          <w:sz w:val="24"/>
          <w:highlight w:val="white"/>
          <w:lang w:eastAsia="zh-CN"/>
        </w:rPr>
        <w:t>ETF</w:t>
      </w:r>
      <w:r>
        <w:rPr>
          <w:rFonts w:ascii="宋体" w:hAnsi="宋体" w:cs="宋体" w:hint="eastAsia"/>
          <w:sz w:val="24"/>
          <w:highlight w:val="white"/>
          <w:lang w:eastAsia="zh-CN"/>
        </w:rPr>
        <w:t>公允价值后的余额（若为负数，则取</w:t>
      </w:r>
      <w:r>
        <w:rPr>
          <w:rFonts w:ascii="宋体" w:hAnsi="宋体" w:cs="宋体" w:hint="eastAsia"/>
          <w:sz w:val="24"/>
          <w:highlight w:val="white"/>
          <w:lang w:eastAsia="zh-CN"/>
        </w:rPr>
        <w:t>0</w:t>
      </w:r>
      <w:r>
        <w:rPr>
          <w:rFonts w:ascii="宋体" w:hAnsi="宋体" w:cs="宋体" w:hint="eastAsia"/>
          <w:sz w:val="24"/>
          <w:highlight w:val="white"/>
          <w:lang w:eastAsia="zh-CN"/>
        </w:rPr>
        <w:t>）的</w:t>
      </w:r>
      <w:r>
        <w:rPr>
          <w:rFonts w:ascii="宋体" w:hAnsi="宋体" w:cs="宋体" w:hint="eastAsia"/>
          <w:sz w:val="24"/>
          <w:highlight w:val="white"/>
          <w:lang w:eastAsia="zh-CN"/>
        </w:rPr>
        <w:t>0.50%</w:t>
      </w:r>
      <w:r>
        <w:rPr>
          <w:rFonts w:ascii="宋体" w:hAnsi="宋体" w:cs="宋体" w:hint="eastAsia"/>
          <w:sz w:val="24"/>
          <w:highlight w:val="white"/>
          <w:lang w:eastAsia="zh-CN"/>
        </w:rPr>
        <w:t>年费率计提。管理费的计算方法如下：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H</w:t>
      </w:r>
      <w:r>
        <w:rPr>
          <w:rFonts w:ascii="宋体" w:hAnsi="宋体" w:cs="宋体" w:hint="eastAsia"/>
          <w:sz w:val="24"/>
          <w:highlight w:val="white"/>
          <w:lang w:eastAsia="zh-CN"/>
        </w:rPr>
        <w:t>＝</w:t>
      </w:r>
      <w:r>
        <w:rPr>
          <w:rFonts w:ascii="宋体" w:hAnsi="宋体" w:cs="宋体" w:hint="eastAsia"/>
          <w:sz w:val="24"/>
          <w:highlight w:val="white"/>
          <w:lang w:eastAsia="zh-CN"/>
        </w:rPr>
        <w:t>E</w:t>
      </w:r>
      <w:r>
        <w:rPr>
          <w:rFonts w:ascii="宋体" w:hAnsi="宋体" w:cs="宋体" w:hint="eastAsia"/>
          <w:sz w:val="24"/>
          <w:highlight w:val="white"/>
          <w:lang w:eastAsia="zh-CN"/>
        </w:rPr>
        <w:t>×</w:t>
      </w:r>
      <w:r>
        <w:rPr>
          <w:rFonts w:ascii="宋体" w:hAnsi="宋体" w:cs="宋体" w:hint="eastAsia"/>
          <w:sz w:val="24"/>
          <w:highlight w:val="white"/>
          <w:lang w:eastAsia="zh-CN"/>
        </w:rPr>
        <w:t>0.50%</w:t>
      </w:r>
      <w:r>
        <w:rPr>
          <w:rFonts w:ascii="宋体" w:hAnsi="宋体" w:cs="宋体" w:hint="eastAsia"/>
          <w:sz w:val="24"/>
          <w:highlight w:val="white"/>
          <w:lang w:eastAsia="zh-CN"/>
        </w:rPr>
        <w:t>÷当年天数</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H</w:t>
      </w:r>
      <w:r>
        <w:rPr>
          <w:rFonts w:ascii="宋体" w:hAnsi="宋体" w:cs="宋体" w:hint="eastAsia"/>
          <w:sz w:val="24"/>
          <w:highlight w:val="white"/>
          <w:lang w:eastAsia="zh-CN"/>
        </w:rPr>
        <w:t>为每日应计提的基金管理费</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E</w:t>
      </w:r>
      <w:r>
        <w:rPr>
          <w:rFonts w:ascii="宋体" w:hAnsi="宋体" w:cs="宋体" w:hint="eastAsia"/>
          <w:sz w:val="24"/>
          <w:highlight w:val="white"/>
          <w:lang w:eastAsia="zh-CN"/>
        </w:rPr>
        <w:t>为调整后的前一日的基金资产净值。调整后的前一日基金资产净值＝前一日基金资产净值－前一日本基金持有的目标</w:t>
      </w:r>
      <w:r>
        <w:rPr>
          <w:rFonts w:ascii="宋体" w:hAnsi="宋体" w:cs="宋体" w:hint="eastAsia"/>
          <w:sz w:val="24"/>
          <w:highlight w:val="white"/>
          <w:lang w:eastAsia="zh-CN"/>
        </w:rPr>
        <w:t>ETF</w:t>
      </w:r>
      <w:r>
        <w:rPr>
          <w:rFonts w:ascii="宋体" w:hAnsi="宋体" w:cs="宋体" w:hint="eastAsia"/>
          <w:sz w:val="24"/>
          <w:highlight w:val="white"/>
          <w:lang w:eastAsia="zh-CN"/>
        </w:rPr>
        <w:t>公允价值，金额为负时以零计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（二）基金托管费的计提比例和计提方法</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本基金的托管费按前一日基金资产净值扣除前一日所持有目标</w:t>
      </w:r>
      <w:r>
        <w:rPr>
          <w:rFonts w:ascii="宋体" w:hAnsi="宋体" w:cs="宋体" w:hint="eastAsia"/>
          <w:sz w:val="24"/>
          <w:highlight w:val="white"/>
          <w:lang w:eastAsia="zh-CN"/>
        </w:rPr>
        <w:t>ETF</w:t>
      </w:r>
      <w:r>
        <w:rPr>
          <w:rFonts w:ascii="宋体" w:hAnsi="宋体" w:cs="宋体" w:hint="eastAsia"/>
          <w:sz w:val="24"/>
          <w:highlight w:val="white"/>
          <w:lang w:eastAsia="zh-CN"/>
        </w:rPr>
        <w:t>公允价值后的余额（若为负数，则取</w:t>
      </w:r>
      <w:r>
        <w:rPr>
          <w:rFonts w:ascii="宋体" w:hAnsi="宋体" w:cs="宋体" w:hint="eastAsia"/>
          <w:sz w:val="24"/>
          <w:highlight w:val="white"/>
          <w:lang w:eastAsia="zh-CN"/>
        </w:rPr>
        <w:t>0</w:t>
      </w:r>
      <w:r>
        <w:rPr>
          <w:rFonts w:ascii="宋体" w:hAnsi="宋体" w:cs="宋体" w:hint="eastAsia"/>
          <w:sz w:val="24"/>
          <w:highlight w:val="white"/>
          <w:lang w:eastAsia="zh-CN"/>
        </w:rPr>
        <w:t>）的</w:t>
      </w:r>
      <w:r>
        <w:rPr>
          <w:rFonts w:ascii="宋体" w:hAnsi="宋体" w:cs="宋体" w:hint="eastAsia"/>
          <w:sz w:val="24"/>
          <w:highlight w:val="white"/>
          <w:lang w:eastAsia="zh-CN"/>
        </w:rPr>
        <w:t>0.10%</w:t>
      </w:r>
      <w:r>
        <w:rPr>
          <w:rFonts w:ascii="宋体" w:hAnsi="宋体" w:cs="宋体" w:hint="eastAsia"/>
          <w:sz w:val="24"/>
          <w:highlight w:val="white"/>
          <w:lang w:eastAsia="zh-CN"/>
        </w:rPr>
        <w:t>的年费率计提。托管费的计算方法如下：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H</w:t>
      </w:r>
      <w:r>
        <w:rPr>
          <w:rFonts w:ascii="宋体" w:hAnsi="宋体" w:cs="宋体" w:hint="eastAsia"/>
          <w:sz w:val="24"/>
          <w:highlight w:val="white"/>
          <w:lang w:eastAsia="zh-CN"/>
        </w:rPr>
        <w:t>＝</w:t>
      </w:r>
      <w:r>
        <w:rPr>
          <w:rFonts w:ascii="宋体" w:hAnsi="宋体" w:cs="宋体" w:hint="eastAsia"/>
          <w:sz w:val="24"/>
          <w:highlight w:val="white"/>
          <w:lang w:eastAsia="zh-CN"/>
        </w:rPr>
        <w:t>E</w:t>
      </w:r>
      <w:r>
        <w:rPr>
          <w:rFonts w:ascii="宋体" w:hAnsi="宋体" w:cs="宋体" w:hint="eastAsia"/>
          <w:sz w:val="24"/>
          <w:highlight w:val="white"/>
          <w:lang w:eastAsia="zh-CN"/>
        </w:rPr>
        <w:t>×</w:t>
      </w:r>
      <w:r>
        <w:rPr>
          <w:rFonts w:ascii="宋体" w:hAnsi="宋体" w:cs="宋体" w:hint="eastAsia"/>
          <w:sz w:val="24"/>
          <w:highlight w:val="white"/>
          <w:lang w:eastAsia="zh-CN"/>
        </w:rPr>
        <w:t>0.10%</w:t>
      </w:r>
      <w:r>
        <w:rPr>
          <w:rFonts w:ascii="宋体" w:hAnsi="宋体" w:cs="宋体" w:hint="eastAsia"/>
          <w:sz w:val="24"/>
          <w:highlight w:val="white"/>
          <w:lang w:eastAsia="zh-CN"/>
        </w:rPr>
        <w:t>÷当年天数</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H</w:t>
      </w:r>
      <w:r>
        <w:rPr>
          <w:rFonts w:ascii="宋体" w:hAnsi="宋体" w:cs="宋体" w:hint="eastAsia"/>
          <w:sz w:val="24"/>
          <w:highlight w:val="white"/>
          <w:lang w:eastAsia="zh-CN"/>
        </w:rPr>
        <w:t>为每日应计提的基金托管费</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E</w:t>
      </w:r>
      <w:r>
        <w:rPr>
          <w:rFonts w:ascii="宋体" w:hAnsi="宋体" w:cs="宋体" w:hint="eastAsia"/>
          <w:sz w:val="24"/>
          <w:highlight w:val="white"/>
          <w:lang w:eastAsia="zh-CN"/>
        </w:rPr>
        <w:t>为调整后的前一日的基金资产净值。调整后的前一日基金资产净值＝前一日基金资产净值－前一日本基金持有的目标</w:t>
      </w:r>
      <w:r>
        <w:rPr>
          <w:rFonts w:ascii="宋体" w:hAnsi="宋体" w:cs="宋体" w:hint="eastAsia"/>
          <w:sz w:val="24"/>
          <w:highlight w:val="white"/>
          <w:lang w:eastAsia="zh-CN"/>
        </w:rPr>
        <w:t>ETF</w:t>
      </w:r>
      <w:r>
        <w:rPr>
          <w:rFonts w:ascii="宋体" w:hAnsi="宋体" w:cs="宋体" w:hint="eastAsia"/>
          <w:sz w:val="24"/>
          <w:highlight w:val="white"/>
          <w:lang w:eastAsia="zh-CN"/>
        </w:rPr>
        <w:t>公允价值，金额为负时以零计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（三）基金销售服务费的计提比例和计提方法</w:t>
      </w:r>
    </w:p>
    <w:p w:rsidR="00052C6C">
      <w:pPr>
        <w:snapToGrid w:val="0"/>
        <w:ind w:firstLine="480"/>
        <w:rPr>
          <w:rFonts w:ascii="宋体" w:hAnsi="宋体" w:cs="宋体"/>
          <w:sz w:val="24"/>
          <w:lang w:eastAsia="zh-CN"/>
        </w:rPr>
      </w:pPr>
      <w:r>
        <w:rPr>
          <w:rFonts w:ascii="宋体" w:hAnsi="宋体" w:cs="宋体"/>
          <w:sz w:val="24"/>
          <w:highlight w:val="white"/>
          <w:lang w:eastAsia="zh-CN"/>
        </w:rPr>
        <w:t>本基金</w:t>
      </w:r>
      <w:r>
        <w:rPr>
          <w:rFonts w:ascii="宋体" w:hAnsi="宋体" w:cs="宋体"/>
          <w:sz w:val="24"/>
          <w:highlight w:val="white"/>
          <w:lang w:eastAsia="zh-CN"/>
        </w:rPr>
        <w:t>A</w:t>
      </w:r>
      <w:r>
        <w:rPr>
          <w:rFonts w:ascii="宋体" w:hAnsi="宋体" w:cs="宋体"/>
          <w:sz w:val="24"/>
          <w:highlight w:val="white"/>
          <w:lang w:eastAsia="zh-CN"/>
        </w:rPr>
        <w:t>类基金份额不收取销售服务费，</w:t>
      </w:r>
      <w:r>
        <w:rPr>
          <w:rFonts w:ascii="宋体" w:hAnsi="宋体" w:cs="宋体"/>
          <w:sz w:val="24"/>
          <w:highlight w:val="white"/>
          <w:lang w:eastAsia="zh-CN"/>
        </w:rPr>
        <w:t>C</w:t>
      </w:r>
      <w:r>
        <w:rPr>
          <w:rFonts w:ascii="宋体" w:hAnsi="宋体" w:cs="宋体"/>
          <w:sz w:val="24"/>
          <w:highlight w:val="white"/>
          <w:lang w:eastAsia="zh-CN"/>
        </w:rPr>
        <w:t>类基金份额的销售服务费年费率为</w:t>
      </w:r>
      <w:r>
        <w:rPr>
          <w:rFonts w:ascii="宋体" w:hAnsi="宋体" w:cs="宋体"/>
          <w:sz w:val="24"/>
          <w:highlight w:val="white"/>
          <w:lang w:eastAsia="zh-CN"/>
        </w:rPr>
        <w:t>0.30%</w:t>
      </w:r>
      <w:r>
        <w:rPr>
          <w:rFonts w:ascii="宋体" w:hAnsi="宋体" w:cs="宋体"/>
          <w:sz w:val="24"/>
          <w:highlight w:val="white"/>
          <w:lang w:eastAsia="zh-CN"/>
        </w:rPr>
        <w:t>，按前一日</w:t>
      </w:r>
      <w:r>
        <w:rPr>
          <w:rFonts w:ascii="宋体" w:hAnsi="宋体" w:cs="宋体"/>
          <w:sz w:val="24"/>
          <w:highlight w:val="white"/>
          <w:lang w:eastAsia="zh-CN"/>
        </w:rPr>
        <w:t>C</w:t>
      </w:r>
      <w:r>
        <w:rPr>
          <w:rFonts w:ascii="宋体" w:hAnsi="宋体" w:cs="宋体"/>
          <w:sz w:val="24"/>
          <w:highlight w:val="white"/>
          <w:lang w:eastAsia="zh-CN"/>
        </w:rPr>
        <w:t>类基金资产净值的</w:t>
      </w:r>
      <w:r>
        <w:rPr>
          <w:rFonts w:ascii="宋体" w:hAnsi="宋体" w:cs="宋体"/>
          <w:sz w:val="24"/>
          <w:highlight w:val="white"/>
          <w:lang w:eastAsia="zh-CN"/>
        </w:rPr>
        <w:t>0.30%</w:t>
      </w:r>
      <w:r>
        <w:rPr>
          <w:rFonts w:ascii="宋体" w:hAnsi="宋体" w:cs="宋体"/>
          <w:sz w:val="24"/>
          <w:highlight w:val="white"/>
          <w:lang w:eastAsia="zh-CN"/>
        </w:rPr>
        <w:t>年费率计提。</w:t>
      </w:r>
    </w:p>
    <w:p w:rsidR="00052C6C">
      <w:pPr>
        <w:snapToGrid w:val="0"/>
        <w:ind w:firstLine="480"/>
        <w:rPr>
          <w:rFonts w:ascii="宋体" w:hAnsi="宋体" w:cs="宋体"/>
          <w:sz w:val="24"/>
          <w:lang w:eastAsia="zh-CN"/>
        </w:rPr>
      </w:pPr>
      <w:r>
        <w:rPr>
          <w:rFonts w:ascii="宋体" w:hAnsi="宋体" w:cs="宋体"/>
          <w:sz w:val="24"/>
          <w:highlight w:val="white"/>
          <w:lang w:eastAsia="zh-CN"/>
        </w:rPr>
        <w:t>销售服务费的计算方法如下：</w:t>
      </w:r>
    </w:p>
    <w:p w:rsidR="00052C6C">
      <w:pPr>
        <w:snapToGrid w:val="0"/>
        <w:ind w:firstLine="480"/>
        <w:rPr>
          <w:rFonts w:ascii="宋体" w:hAnsi="宋体" w:cs="宋体"/>
          <w:sz w:val="24"/>
          <w:lang w:eastAsia="zh-CN"/>
        </w:rPr>
      </w:pPr>
      <w:r>
        <w:rPr>
          <w:rFonts w:ascii="宋体" w:hAnsi="宋体" w:cs="宋体"/>
          <w:sz w:val="24"/>
          <w:highlight w:val="white"/>
          <w:lang w:eastAsia="zh-CN"/>
        </w:rPr>
        <w:t>H</w:t>
      </w:r>
      <w:r>
        <w:rPr>
          <w:rFonts w:ascii="宋体" w:hAnsi="宋体" w:cs="宋体"/>
          <w:sz w:val="24"/>
          <w:highlight w:val="white"/>
          <w:lang w:eastAsia="zh-CN"/>
        </w:rPr>
        <w:t>＝</w:t>
      </w:r>
      <w:r>
        <w:rPr>
          <w:rFonts w:ascii="宋体" w:hAnsi="宋体" w:cs="宋体"/>
          <w:sz w:val="24"/>
          <w:highlight w:val="white"/>
          <w:lang w:eastAsia="zh-CN"/>
        </w:rPr>
        <w:t>E×0.30%÷</w:t>
      </w:r>
      <w:r>
        <w:rPr>
          <w:rFonts w:ascii="宋体" w:hAnsi="宋体" w:cs="宋体"/>
          <w:sz w:val="24"/>
          <w:highlight w:val="white"/>
          <w:lang w:eastAsia="zh-CN"/>
        </w:rPr>
        <w:t>当年天数</w:t>
      </w:r>
    </w:p>
    <w:p w:rsidR="00052C6C">
      <w:pPr>
        <w:snapToGrid w:val="0"/>
        <w:ind w:firstLine="480"/>
        <w:rPr>
          <w:rFonts w:ascii="宋体" w:hAnsi="宋体" w:cs="宋体"/>
          <w:sz w:val="24"/>
          <w:lang w:eastAsia="zh-CN"/>
        </w:rPr>
      </w:pPr>
      <w:r>
        <w:rPr>
          <w:rFonts w:ascii="宋体" w:hAnsi="宋体" w:cs="宋体"/>
          <w:sz w:val="24"/>
          <w:highlight w:val="white"/>
          <w:lang w:eastAsia="zh-CN"/>
        </w:rPr>
        <w:t xml:space="preserve">H </w:t>
      </w:r>
      <w:r>
        <w:rPr>
          <w:rFonts w:ascii="宋体" w:hAnsi="宋体" w:cs="宋体"/>
          <w:sz w:val="24"/>
          <w:highlight w:val="white"/>
          <w:lang w:eastAsia="zh-CN"/>
        </w:rPr>
        <w:t>为</w:t>
      </w:r>
      <w:r>
        <w:rPr>
          <w:rFonts w:ascii="宋体" w:hAnsi="宋体" w:cs="宋体"/>
          <w:sz w:val="24"/>
          <w:highlight w:val="white"/>
          <w:lang w:eastAsia="zh-CN"/>
        </w:rPr>
        <w:t>C</w:t>
      </w:r>
      <w:r>
        <w:rPr>
          <w:rFonts w:ascii="宋体" w:hAnsi="宋体" w:cs="宋体"/>
          <w:sz w:val="24"/>
          <w:highlight w:val="white"/>
          <w:lang w:eastAsia="zh-CN"/>
        </w:rPr>
        <w:t>类基金份额每日应计提的销售服务费</w:t>
      </w:r>
    </w:p>
    <w:p w:rsidR="00052C6C">
      <w:pPr>
        <w:snapToGrid w:val="0"/>
        <w:ind w:firstLine="480"/>
        <w:rPr>
          <w:rFonts w:ascii="宋体" w:hAnsi="宋体" w:cs="宋体"/>
          <w:sz w:val="24"/>
          <w:lang w:eastAsia="zh-CN"/>
        </w:rPr>
      </w:pPr>
      <w:r>
        <w:rPr>
          <w:rFonts w:ascii="宋体" w:hAnsi="宋体" w:cs="宋体"/>
          <w:sz w:val="24"/>
          <w:highlight w:val="white"/>
          <w:lang w:eastAsia="zh-CN"/>
        </w:rPr>
        <w:t xml:space="preserve">E </w:t>
      </w:r>
      <w:r>
        <w:rPr>
          <w:rFonts w:ascii="宋体" w:hAnsi="宋体" w:cs="宋体"/>
          <w:sz w:val="24"/>
          <w:highlight w:val="white"/>
          <w:lang w:eastAsia="zh-CN"/>
        </w:rPr>
        <w:t>为</w:t>
      </w:r>
      <w:r>
        <w:rPr>
          <w:rFonts w:ascii="宋体" w:hAnsi="宋体" w:cs="宋体"/>
          <w:sz w:val="24"/>
          <w:highlight w:val="white"/>
          <w:lang w:eastAsia="zh-CN"/>
        </w:rPr>
        <w:t>C</w:t>
      </w:r>
      <w:r>
        <w:rPr>
          <w:rFonts w:ascii="宋体" w:hAnsi="宋体" w:cs="宋体"/>
          <w:sz w:val="24"/>
          <w:highlight w:val="white"/>
          <w:lang w:eastAsia="zh-CN"/>
        </w:rPr>
        <w:t>类基金份额前一日基金资产净值</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（四）证券账户开户费用、证券</w:t>
      </w:r>
      <w:r>
        <w:rPr>
          <w:rFonts w:ascii="宋体" w:hAnsi="宋体" w:cs="宋体"/>
          <w:sz w:val="24"/>
          <w:highlight w:val="white"/>
          <w:lang w:eastAsia="zh-CN"/>
        </w:rPr>
        <w:t>/</w:t>
      </w:r>
      <w:r>
        <w:rPr>
          <w:rFonts w:ascii="宋体" w:hAnsi="宋体" w:cs="宋体"/>
          <w:sz w:val="24"/>
          <w:highlight w:val="white"/>
          <w:lang w:eastAsia="zh-CN"/>
        </w:rPr>
        <w:t>期货交易费用、基金投资目标</w:t>
      </w:r>
      <w:r>
        <w:rPr>
          <w:rFonts w:ascii="宋体" w:hAnsi="宋体" w:cs="宋体"/>
          <w:sz w:val="24"/>
          <w:highlight w:val="white"/>
          <w:lang w:eastAsia="zh-CN"/>
        </w:rPr>
        <w:t xml:space="preserve"> ETF </w:t>
      </w:r>
      <w:r>
        <w:rPr>
          <w:rFonts w:ascii="宋体" w:hAnsi="宋体" w:cs="宋体"/>
          <w:sz w:val="24"/>
          <w:highlight w:val="white"/>
          <w:lang w:eastAsia="zh-CN"/>
        </w:rPr>
        <w:t>的相关费用（包括但不限于目标</w:t>
      </w:r>
      <w:r>
        <w:rPr>
          <w:rFonts w:ascii="宋体" w:hAnsi="宋体" w:cs="宋体"/>
          <w:sz w:val="24"/>
          <w:highlight w:val="white"/>
          <w:lang w:eastAsia="zh-CN"/>
        </w:rPr>
        <w:t xml:space="preserve">ETF </w:t>
      </w:r>
      <w:r>
        <w:rPr>
          <w:rFonts w:ascii="宋体" w:hAnsi="宋体" w:cs="宋体"/>
          <w:sz w:val="24"/>
          <w:highlight w:val="white"/>
          <w:lang w:eastAsia="zh-CN"/>
        </w:rPr>
        <w:t>的交易费用、申购赎回费用等）、基金的银行汇划费用、银行账户维护费用、《基金合同》生效后与基金相关的信息披露费用（但法律法规、中国证监会另有规定的除外）、基金份额持有人大会费用、《基金合同》生效后与基金有关的会计师费、律师费、诉讼费和仲裁费等根据有关法律法规、《基金合同》及相应协议的规定，列入当期基金费用</w:t>
      </w:r>
      <w:r>
        <w:rPr>
          <w:rFonts w:ascii="宋体" w:hAnsi="宋体" w:cs="宋体" w:hint="eastAsia"/>
          <w:sz w:val="24"/>
          <w:highlight w:val="white"/>
          <w:lang w:eastAsia="zh-CN"/>
        </w:rPr>
        <w:t>。</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（五）不列入基金费用的项目</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《基金合同》生效前的律师费、会计师费和信息披露费用不得从基金财产中列支；基</w:t>
      </w:r>
      <w:r>
        <w:rPr>
          <w:rFonts w:ascii="宋体" w:hAnsi="宋体" w:cs="宋体" w:hint="eastAsia"/>
          <w:sz w:val="24"/>
          <w:highlight w:val="white"/>
          <w:lang w:eastAsia="zh-CN"/>
        </w:rPr>
        <w:t>金管理人和基金托管人因未履行或未完全履行义务导致的费用支出或基金财产的损失，</w:t>
      </w:r>
      <w:r>
        <w:rPr>
          <w:rFonts w:ascii="宋体" w:hAnsi="宋体" w:cs="宋体"/>
          <w:sz w:val="24"/>
          <w:highlight w:val="white"/>
          <w:lang w:eastAsia="zh-CN"/>
        </w:rPr>
        <w:t>标的指数许可使用费，处理与基金运作无关的事项发生的费用以及其他根据相关法律法规及中国证监会的有关规定不得列入基金费用的项目等不列入基金费用。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（六）基金管理费、基金托管费和销售服务费的复核程序、支付方式和时间</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复核程序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基金托管人对基金管理人计提的基金管理费、基金托管费和销售服务费等，根据本托管协议和《基金合同》的有关规定进行复核。</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支付方式和时间</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基金管理费、基金托管费和销售服务费</w:t>
      </w:r>
      <w:r>
        <w:rPr>
          <w:rFonts w:ascii="宋体" w:hAnsi="宋体" w:cs="宋体"/>
          <w:sz w:val="24"/>
          <w:highlight w:val="white"/>
          <w:lang w:eastAsia="zh-CN"/>
        </w:rPr>
        <w:t>每日计提，逐日累</w:t>
      </w:r>
      <w:r>
        <w:rPr>
          <w:rFonts w:ascii="宋体" w:hAnsi="宋体" w:cs="宋体" w:hint="eastAsia"/>
          <w:sz w:val="24"/>
          <w:highlight w:val="white"/>
          <w:lang w:eastAsia="zh-CN"/>
        </w:rPr>
        <w:t>计至每月月末，</w:t>
      </w:r>
      <w:r>
        <w:rPr>
          <w:rFonts w:ascii="宋体" w:hAnsi="宋体" w:cs="宋体"/>
          <w:sz w:val="24"/>
          <w:highlight w:val="white"/>
          <w:lang w:eastAsia="zh-CN"/>
        </w:rPr>
        <w:t>按月支付，由</w:t>
      </w:r>
      <w:r>
        <w:rPr>
          <w:rFonts w:ascii="宋体" w:hAnsi="宋体" w:cs="宋体"/>
          <w:sz w:val="24"/>
          <w:highlight w:val="white"/>
          <w:lang w:eastAsia="zh-CN"/>
        </w:rPr>
        <w:t>基金托管人根据与基金管理人核对一致的财务数据，自动在月初</w:t>
      </w:r>
      <w:r>
        <w:rPr>
          <w:rFonts w:ascii="宋体" w:hAnsi="宋体" w:cs="宋体"/>
          <w:sz w:val="24"/>
          <w:highlight w:val="white"/>
          <w:lang w:eastAsia="zh-CN"/>
        </w:rPr>
        <w:t>5</w:t>
      </w:r>
      <w:r>
        <w:rPr>
          <w:rFonts w:ascii="宋体" w:hAnsi="宋体" w:cs="宋体"/>
          <w:sz w:val="24"/>
          <w:highlight w:val="white"/>
          <w:lang w:eastAsia="zh-CN"/>
        </w:rPr>
        <w:t>个工作日内、按照指定的账户路径进行资金支付，基金管理人无需再出具资金划拨指令。若遇法定节假日、公休日等，支付日期顺延。</w:t>
      </w:r>
      <w:r>
        <w:rPr>
          <w:rFonts w:ascii="宋体" w:hAnsi="宋体" w:cs="宋体" w:hint="eastAsia"/>
          <w:sz w:val="24"/>
          <w:highlight w:val="white"/>
          <w:lang w:eastAsia="zh-CN"/>
        </w:rPr>
        <w:t>费用自动扣划后，基金管理人应进行核对，如发现数据不符，及时联系基金托管人协商解决。</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在首期支付基金管理费、销售服务费前，基金管理人应向基金托管人出具正式函件指定基金管理费、销售服务费的收款账户。基金管理人如需要变更此账户，应提前</w:t>
      </w:r>
      <w:r>
        <w:rPr>
          <w:rFonts w:ascii="宋体" w:hAnsi="宋体" w:cs="宋体" w:hint="eastAsia"/>
          <w:sz w:val="24"/>
          <w:highlight w:val="white"/>
          <w:lang w:eastAsia="zh-CN"/>
        </w:rPr>
        <w:t>5</w:t>
      </w:r>
      <w:r>
        <w:rPr>
          <w:rFonts w:ascii="宋体" w:hAnsi="宋体" w:cs="宋体" w:hint="eastAsia"/>
          <w:sz w:val="24"/>
          <w:highlight w:val="white"/>
          <w:lang w:eastAsia="zh-CN"/>
        </w:rPr>
        <w:t>个工作日向基金托管人出具书面的收款账户变更通知。</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（七）违规处理方式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基金托管人发现基金管理人违反《基金法</w:t>
      </w:r>
      <w:r>
        <w:rPr>
          <w:rFonts w:ascii="宋体" w:hAnsi="宋体" w:cs="宋体" w:hint="eastAsia"/>
          <w:sz w:val="24"/>
          <w:highlight w:val="white"/>
          <w:lang w:eastAsia="zh-CN"/>
        </w:rPr>
        <w:t>》、《基金合同》、《运作办法》及其他有关规定从基金财产中列支费用时，基金托管人可要求基金管理人予以说明解释，如基金管理人无正当理由，基金托管人可拒绝支付。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（八）实施侧袋机制期间的基金费用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052C6C">
      <w:pPr>
        <w:snapToGrid w:val="0"/>
        <w:rPr>
          <w:rFonts w:ascii="宋体" w:hAnsi="宋体" w:cs="宋体"/>
          <w:sz w:val="24"/>
          <w:lang w:eastAsia="zh-CN"/>
        </w:rPr>
      </w:pPr>
    </w:p>
    <w:p w:rsidR="00052C6C">
      <w:pPr>
        <w:pStyle w:val="21"/>
        <w:jc w:val="center"/>
        <w:rPr>
          <w:rFonts w:ascii="宋体" w:eastAsia="宋体" w:hAnsi="宋体" w:cs="宋体"/>
          <w:sz w:val="30"/>
          <w:lang w:eastAsia="zh-CN"/>
        </w:rPr>
      </w:pPr>
      <w:bookmarkStart w:id="90" w:name="_Toc164350597"/>
      <w:r>
        <w:rPr>
          <w:rFonts w:ascii="宋体" w:eastAsia="宋体" w:hAnsi="宋体" w:cs="宋体" w:hint="eastAsia"/>
          <w:sz w:val="30"/>
          <w:highlight w:val="white"/>
          <w:lang w:eastAsia="zh-CN"/>
        </w:rPr>
        <w:t>十二、基金份额持有人名册的保管</w:t>
      </w:r>
      <w:bookmarkEnd w:id="90"/>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基金份额持有人名册至少应包括基金份额持有人的名称和持有的基金份额。基金份额持有人名册由基金登记机构根据基金管理人的指令编制</w:t>
      </w:r>
      <w:r>
        <w:rPr>
          <w:rFonts w:ascii="宋体" w:hAnsi="宋体" w:cs="宋体" w:hint="eastAsia"/>
          <w:sz w:val="24"/>
          <w:highlight w:val="white"/>
          <w:lang w:eastAsia="zh-CN"/>
        </w:rPr>
        <w:t>和保管，基金管理人和基金托管人应分别保管基金份额持有人名册，保存期不少于</w:t>
      </w:r>
      <w:r>
        <w:rPr>
          <w:rFonts w:ascii="宋体" w:hAnsi="宋体" w:cs="宋体"/>
          <w:sz w:val="24"/>
          <w:highlight w:val="white"/>
          <w:lang w:eastAsia="zh-CN"/>
        </w:rPr>
        <w:t>20</w:t>
      </w:r>
      <w:r>
        <w:rPr>
          <w:rFonts w:ascii="宋体" w:hAnsi="宋体" w:cs="宋体" w:hint="eastAsia"/>
          <w:sz w:val="24"/>
          <w:highlight w:val="white"/>
          <w:lang w:eastAsia="zh-CN"/>
        </w:rPr>
        <w:t>年。如不能妥善保管，则按相关法规承担责任。</w:t>
      </w:r>
    </w:p>
    <w:p w:rsidR="00052C6C">
      <w:pPr>
        <w:snapToGrid w:val="0"/>
        <w:ind w:firstLine="480"/>
        <w:rPr>
          <w:rFonts w:ascii="宋体" w:hAnsi="宋体" w:cs="宋体"/>
          <w:sz w:val="24"/>
          <w:lang w:eastAsia="zh-CN"/>
        </w:rPr>
      </w:pPr>
      <w:r>
        <w:rPr>
          <w:rFonts w:ascii="宋体" w:hAnsi="宋体" w:cs="宋体"/>
          <w:sz w:val="24"/>
          <w:highlight w:val="white"/>
          <w:lang w:eastAsia="zh-CN"/>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052C6C">
      <w:pPr>
        <w:snapToGrid w:val="0"/>
        <w:ind w:firstLine="480"/>
        <w:rPr>
          <w:rFonts w:ascii="宋体" w:hAnsi="宋体" w:cs="宋体"/>
          <w:sz w:val="24"/>
          <w:lang w:eastAsia="zh-CN"/>
        </w:rPr>
      </w:pPr>
    </w:p>
    <w:p w:rsidR="00052C6C">
      <w:pPr>
        <w:pStyle w:val="21"/>
        <w:jc w:val="center"/>
        <w:rPr>
          <w:rFonts w:ascii="宋体" w:eastAsia="宋体" w:hAnsi="宋体" w:cs="宋体"/>
          <w:sz w:val="30"/>
          <w:lang w:eastAsia="zh-CN"/>
        </w:rPr>
      </w:pPr>
      <w:bookmarkStart w:id="91" w:name="_Toc164350598"/>
      <w:r>
        <w:rPr>
          <w:rFonts w:ascii="宋体" w:eastAsia="宋体" w:hAnsi="宋体" w:cs="宋体" w:hint="eastAsia"/>
          <w:sz w:val="30"/>
          <w:highlight w:val="white"/>
          <w:lang w:eastAsia="zh-CN"/>
        </w:rPr>
        <w:t>十三、基金有关文件档案的保存</w:t>
      </w:r>
      <w:bookmarkEnd w:id="91"/>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（一）档案保存</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宋体" w:hint="eastAsia"/>
          <w:sz w:val="24"/>
          <w:highlight w:val="white"/>
          <w:lang w:eastAsia="zh-CN"/>
        </w:rPr>
        <w:t xml:space="preserve">20 </w:t>
      </w:r>
      <w:r>
        <w:rPr>
          <w:rFonts w:ascii="宋体" w:hAnsi="宋体" w:cs="宋体" w:hint="eastAsia"/>
          <w:sz w:val="24"/>
          <w:highlight w:val="white"/>
          <w:lang w:eastAsia="zh-CN"/>
        </w:rPr>
        <w:t>年。</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（二）合同档案的建立</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基金管理人签署重大合同文本后，应及时将合同文本正本送达基金托管人处。</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基金管理人应及时将与本基金账务处理、资金划拨等有关的合同、协议传真基金托管人。</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（三）变更与协助</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若基金管理人</w:t>
      </w:r>
      <w:r>
        <w:rPr>
          <w:rFonts w:ascii="宋体" w:hAnsi="宋体" w:cs="宋体" w:hint="eastAsia"/>
          <w:sz w:val="24"/>
          <w:highlight w:val="white"/>
          <w:lang w:eastAsia="zh-CN"/>
        </w:rPr>
        <w:t>/</w:t>
      </w:r>
      <w:r>
        <w:rPr>
          <w:rFonts w:ascii="宋体" w:hAnsi="宋体" w:cs="宋体" w:hint="eastAsia"/>
          <w:sz w:val="24"/>
          <w:highlight w:val="white"/>
          <w:lang w:eastAsia="zh-CN"/>
        </w:rPr>
        <w:t>基金托管人发生变更，未变更的一方有义务协助变更后的接任人接收相应文件。</w:t>
      </w:r>
    </w:p>
    <w:p w:rsidR="00052C6C">
      <w:pPr>
        <w:snapToGrid w:val="0"/>
        <w:ind w:firstLine="480"/>
        <w:outlineLvl w:val="0"/>
        <w:rPr>
          <w:rFonts w:ascii="宋体" w:hAnsi="宋体" w:cs="宋体"/>
          <w:sz w:val="24"/>
          <w:lang w:eastAsia="zh-CN"/>
        </w:rPr>
      </w:pPr>
      <w:r>
        <w:rPr>
          <w:rFonts w:ascii="宋体" w:hAnsi="宋体" w:cs="宋体" w:hint="eastAsia"/>
          <w:sz w:val="24"/>
          <w:highlight w:val="white"/>
          <w:lang w:eastAsia="zh-CN"/>
        </w:rPr>
        <w:t>（四）基金管理人和基金托管人应按各自职责完整保存原始凭证、记账凭证、基金账册、交易记录和重要合同等，承担保密义务并保存至少</w:t>
      </w:r>
      <w:r>
        <w:rPr>
          <w:rFonts w:ascii="宋体" w:hAnsi="宋体" w:cs="宋体" w:hint="eastAsia"/>
          <w:sz w:val="24"/>
          <w:highlight w:val="white"/>
          <w:lang w:eastAsia="zh-CN"/>
        </w:rPr>
        <w:t>20</w:t>
      </w:r>
      <w:r>
        <w:rPr>
          <w:rFonts w:ascii="宋体" w:hAnsi="宋体" w:cs="宋体" w:hint="eastAsia"/>
          <w:sz w:val="24"/>
          <w:highlight w:val="white"/>
          <w:lang w:eastAsia="zh-CN"/>
        </w:rPr>
        <w:t>年。</w:t>
      </w:r>
    </w:p>
    <w:p w:rsidR="00052C6C">
      <w:pPr>
        <w:snapToGrid w:val="0"/>
        <w:rPr>
          <w:rFonts w:ascii="宋体" w:hAnsi="宋体" w:cs="宋体"/>
          <w:sz w:val="30"/>
          <w:szCs w:val="30"/>
          <w:lang w:eastAsia="zh-CN"/>
        </w:rPr>
      </w:pPr>
    </w:p>
    <w:p w:rsidR="00052C6C">
      <w:pPr>
        <w:pStyle w:val="21"/>
        <w:jc w:val="center"/>
        <w:rPr>
          <w:rFonts w:ascii="宋体" w:eastAsia="宋体" w:hAnsi="宋体" w:cs="宋体"/>
          <w:sz w:val="30"/>
          <w:lang w:eastAsia="zh-CN"/>
        </w:rPr>
      </w:pPr>
      <w:bookmarkStart w:id="92" w:name="_Toc164350599"/>
      <w:r>
        <w:rPr>
          <w:rFonts w:ascii="宋体" w:eastAsia="宋体" w:hAnsi="宋体" w:cs="宋体" w:hint="eastAsia"/>
          <w:sz w:val="30"/>
          <w:highlight w:val="white"/>
          <w:lang w:eastAsia="zh-CN"/>
        </w:rPr>
        <w:t>十四、基金管理人和基金托管人的更换</w:t>
      </w:r>
      <w:bookmarkEnd w:id="92"/>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（一）基金管理人职责终止的情形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基金管理人职责终止的情形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有下列情形之一的，基金管理人职责终止：</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被依法取消基金管理资格；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被基金份额持有人大会解任；</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依法解散、被依法撤销或被依法宣告破产；</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4</w:t>
      </w:r>
      <w:r>
        <w:rPr>
          <w:rFonts w:ascii="宋体" w:hAnsi="宋体" w:cs="宋体"/>
          <w:sz w:val="24"/>
          <w:highlight w:val="white"/>
          <w:lang w:eastAsia="zh-CN"/>
        </w:rPr>
        <w:t>）</w:t>
      </w:r>
      <w:r>
        <w:rPr>
          <w:rFonts w:ascii="宋体" w:hAnsi="宋体" w:cs="宋体" w:hint="eastAsia"/>
          <w:sz w:val="24"/>
          <w:highlight w:val="white"/>
          <w:lang w:eastAsia="zh-CN"/>
        </w:rPr>
        <w:t>法律法规及中国证监会规定的和《基金合同》约定的其他情形。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基金管理人的更换程序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更换基金管理人必须依照如下程序进行：</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w:t>
      </w:r>
      <w:r>
        <w:rPr>
          <w:rFonts w:ascii="宋体" w:hAnsi="宋体" w:cs="宋体"/>
          <w:sz w:val="24"/>
          <w:highlight w:val="white"/>
          <w:lang w:eastAsia="zh-CN"/>
        </w:rPr>
        <w:t>）提名：新任基金管理人由基金托管人或由单独或合计持有</w:t>
      </w:r>
      <w:r>
        <w:rPr>
          <w:rFonts w:ascii="宋体" w:hAnsi="宋体" w:cs="宋体"/>
          <w:sz w:val="24"/>
          <w:highlight w:val="white"/>
          <w:lang w:eastAsia="zh-CN"/>
        </w:rPr>
        <w:t>10%</w:t>
      </w:r>
      <w:r>
        <w:rPr>
          <w:rFonts w:ascii="宋体" w:hAnsi="宋体" w:cs="宋体"/>
          <w:sz w:val="24"/>
          <w:highlight w:val="white"/>
          <w:lang w:eastAsia="zh-CN"/>
        </w:rPr>
        <w:t>以上（含</w:t>
      </w:r>
      <w:r>
        <w:rPr>
          <w:rFonts w:ascii="宋体" w:hAnsi="宋体" w:cs="宋体"/>
          <w:sz w:val="24"/>
          <w:highlight w:val="white"/>
          <w:lang w:eastAsia="zh-CN"/>
        </w:rPr>
        <w:t>10%</w:t>
      </w:r>
      <w:r>
        <w:rPr>
          <w:rFonts w:ascii="宋体" w:hAnsi="宋体" w:cs="宋体"/>
          <w:sz w:val="24"/>
          <w:highlight w:val="white"/>
          <w:lang w:eastAsia="zh-CN"/>
        </w:rPr>
        <w:t>）基金份额的基金份额持有人提名；</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）决议：基金份额持有人大会在基金管理人职责终止后</w:t>
      </w:r>
      <w:r>
        <w:rPr>
          <w:rFonts w:ascii="宋体" w:hAnsi="宋体" w:cs="宋体"/>
          <w:sz w:val="24"/>
          <w:highlight w:val="white"/>
          <w:lang w:eastAsia="zh-CN"/>
        </w:rPr>
        <w:t>6</w:t>
      </w:r>
      <w:r>
        <w:rPr>
          <w:rFonts w:ascii="宋体" w:hAnsi="宋体" w:cs="宋体"/>
          <w:sz w:val="24"/>
          <w:highlight w:val="white"/>
          <w:lang w:eastAsia="zh-CN"/>
        </w:rPr>
        <w:t>个月内对被提名的基金管理人形成决议，该决议需经参加大会的基金份额持有人所持表决权的三分之二以上（含三分之二）表决通过，决议自表决通过之日起生效；</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）临时基金管理人：新任基金管理人产生之前，由中国证监会指定临时基金管理人；</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4</w:t>
      </w:r>
      <w:r>
        <w:rPr>
          <w:rFonts w:ascii="宋体" w:hAnsi="宋体" w:cs="宋体"/>
          <w:sz w:val="24"/>
          <w:highlight w:val="white"/>
          <w:lang w:eastAsia="zh-CN"/>
        </w:rPr>
        <w:t>）备案：基金份额持有人大会更换基金管理人的决议须报中国证监会备案；</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5</w:t>
      </w:r>
      <w:r>
        <w:rPr>
          <w:rFonts w:ascii="宋体" w:hAnsi="宋体" w:cs="宋体"/>
          <w:sz w:val="24"/>
          <w:highlight w:val="white"/>
          <w:lang w:eastAsia="zh-CN"/>
        </w:rPr>
        <w:t>）公告：基金管理人更换后，由基金托管人在更换基</w:t>
      </w:r>
      <w:r>
        <w:rPr>
          <w:rFonts w:ascii="宋体" w:hAnsi="宋体" w:cs="宋体"/>
          <w:sz w:val="24"/>
          <w:highlight w:val="white"/>
          <w:lang w:eastAsia="zh-CN"/>
        </w:rPr>
        <w:t>金管理人的基金份额持有人大会决议生效后</w:t>
      </w:r>
      <w:r>
        <w:rPr>
          <w:rFonts w:ascii="宋体" w:hAnsi="宋体" w:cs="宋体"/>
          <w:sz w:val="24"/>
          <w:highlight w:val="white"/>
          <w:lang w:eastAsia="zh-CN"/>
        </w:rPr>
        <w:t>2</w:t>
      </w:r>
      <w:r>
        <w:rPr>
          <w:rFonts w:ascii="宋体" w:hAnsi="宋体" w:cs="宋体"/>
          <w:sz w:val="24"/>
          <w:highlight w:val="white"/>
          <w:lang w:eastAsia="zh-CN"/>
        </w:rPr>
        <w:t>日内在规定媒介公告；</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6</w:t>
      </w:r>
      <w:r>
        <w:rPr>
          <w:rFonts w:ascii="宋体" w:hAnsi="宋体" w:cs="宋体"/>
          <w:sz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7</w:t>
      </w:r>
      <w:r>
        <w:rPr>
          <w:rFonts w:ascii="宋体" w:hAnsi="宋体" w:cs="宋体"/>
          <w:sz w:val="24"/>
          <w:highlight w:val="white"/>
          <w:lang w:eastAsia="zh-CN"/>
        </w:rPr>
        <w:t>）审计：基金管理人职责终止的，应当按照法律法规规定聘请会计师事务所对基金财产进行审计，并将审计结果予以公告，同时报中国证监会备案。审计费用从基金财产中列支；</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8</w:t>
      </w:r>
      <w:r>
        <w:rPr>
          <w:rFonts w:ascii="宋体" w:hAnsi="宋体" w:cs="宋体"/>
          <w:sz w:val="24"/>
          <w:highlight w:val="white"/>
          <w:lang w:eastAsia="zh-CN"/>
        </w:rPr>
        <w:t>）基金名称变更：基金管理人更换后，如果原任或新任基金</w:t>
      </w:r>
      <w:r>
        <w:rPr>
          <w:rFonts w:ascii="宋体" w:hAnsi="宋体" w:cs="宋体"/>
          <w:sz w:val="24"/>
          <w:highlight w:val="white"/>
          <w:lang w:eastAsia="zh-CN"/>
        </w:rPr>
        <w:t>管理人要求，应按其要求替换或删除基金名称中与原基金管理人有关的名称字样。</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（二）基金托管人职责终止的情形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基金托管人职责终止的情形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有下列情形之一的，基金托管人职责终止：</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被依法取消基金托管资格；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被基金份额持有人大会解任；</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依法解散、被依法撤销或被依法宣告破产；</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4</w:t>
      </w:r>
      <w:r>
        <w:rPr>
          <w:rFonts w:ascii="宋体" w:hAnsi="宋体" w:cs="宋体"/>
          <w:sz w:val="24"/>
          <w:highlight w:val="white"/>
          <w:lang w:eastAsia="zh-CN"/>
        </w:rPr>
        <w:t>）</w:t>
      </w:r>
      <w:r>
        <w:rPr>
          <w:rFonts w:ascii="宋体" w:hAnsi="宋体" w:cs="宋体" w:hint="eastAsia"/>
          <w:sz w:val="24"/>
          <w:highlight w:val="white"/>
          <w:lang w:eastAsia="zh-CN"/>
        </w:rPr>
        <w:t>法律法规及中国证监会规定的和《基金合同》约定的其他情形。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基金托管人的更换程序</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1</w:t>
      </w:r>
      <w:r>
        <w:rPr>
          <w:rFonts w:ascii="宋体" w:hAnsi="宋体" w:cs="宋体"/>
          <w:sz w:val="24"/>
          <w:highlight w:val="white"/>
          <w:lang w:eastAsia="zh-CN"/>
        </w:rPr>
        <w:t>）提名：新任基金托管人由基金管理人或由单独或合计持有</w:t>
      </w:r>
      <w:r>
        <w:rPr>
          <w:rFonts w:ascii="宋体" w:hAnsi="宋体" w:cs="宋体"/>
          <w:sz w:val="24"/>
          <w:highlight w:val="white"/>
          <w:lang w:eastAsia="zh-CN"/>
        </w:rPr>
        <w:t>10%</w:t>
      </w:r>
      <w:r>
        <w:rPr>
          <w:rFonts w:ascii="宋体" w:hAnsi="宋体" w:cs="宋体"/>
          <w:sz w:val="24"/>
          <w:highlight w:val="white"/>
          <w:lang w:eastAsia="zh-CN"/>
        </w:rPr>
        <w:t>以上（含</w:t>
      </w:r>
      <w:r>
        <w:rPr>
          <w:rFonts w:ascii="宋体" w:hAnsi="宋体" w:cs="宋体"/>
          <w:sz w:val="24"/>
          <w:highlight w:val="white"/>
          <w:lang w:eastAsia="zh-CN"/>
        </w:rPr>
        <w:t>10%</w:t>
      </w:r>
      <w:r>
        <w:rPr>
          <w:rFonts w:ascii="宋体" w:hAnsi="宋体" w:cs="宋体"/>
          <w:sz w:val="24"/>
          <w:highlight w:val="white"/>
          <w:lang w:eastAsia="zh-CN"/>
        </w:rPr>
        <w:t>）基金份额的基金份额持有人提名；</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2</w:t>
      </w:r>
      <w:r>
        <w:rPr>
          <w:rFonts w:ascii="宋体" w:hAnsi="宋体" w:cs="宋体"/>
          <w:sz w:val="24"/>
          <w:highlight w:val="white"/>
          <w:lang w:eastAsia="zh-CN"/>
        </w:rPr>
        <w:t>）决议：基金份额持有人大会在基金托管人职责终止后</w:t>
      </w:r>
      <w:r>
        <w:rPr>
          <w:rFonts w:ascii="宋体" w:hAnsi="宋体" w:cs="宋体"/>
          <w:sz w:val="24"/>
          <w:highlight w:val="white"/>
          <w:lang w:eastAsia="zh-CN"/>
        </w:rPr>
        <w:t>6</w:t>
      </w:r>
      <w:r>
        <w:rPr>
          <w:rFonts w:ascii="宋体" w:hAnsi="宋体" w:cs="宋体"/>
          <w:sz w:val="24"/>
          <w:highlight w:val="white"/>
          <w:lang w:eastAsia="zh-CN"/>
        </w:rPr>
        <w:t>个月内对被提名的基金托管人形成决议，该决议需经参加大会的基金份额持有人所持表决权的三分之二以上（含三分之二）表决通过，决议自表决通过之日起生效；</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3</w:t>
      </w:r>
      <w:r>
        <w:rPr>
          <w:rFonts w:ascii="宋体" w:hAnsi="宋体" w:cs="宋体"/>
          <w:sz w:val="24"/>
          <w:highlight w:val="white"/>
          <w:lang w:eastAsia="zh-CN"/>
        </w:rPr>
        <w:t>）临时基金托管人：新任基金托管人产生之前，由中国证监会指定临时基金托管人；</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4</w:t>
      </w:r>
      <w:r>
        <w:rPr>
          <w:rFonts w:ascii="宋体" w:hAnsi="宋体" w:cs="宋体"/>
          <w:sz w:val="24"/>
          <w:highlight w:val="white"/>
          <w:lang w:eastAsia="zh-CN"/>
        </w:rPr>
        <w:t>）备案：基金份额持有人大会更换基金托管人的决议须报中国证监会备案；</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5</w:t>
      </w:r>
      <w:r>
        <w:rPr>
          <w:rFonts w:ascii="宋体" w:hAnsi="宋体" w:cs="宋体"/>
          <w:sz w:val="24"/>
          <w:highlight w:val="white"/>
          <w:lang w:eastAsia="zh-CN"/>
        </w:rPr>
        <w:t>）公告：基金托管人更换后，由基金管理人在更换基金托管人的基金份额持有人大会决议生效后</w:t>
      </w:r>
      <w:r>
        <w:rPr>
          <w:rFonts w:ascii="宋体" w:hAnsi="宋体" w:cs="宋体"/>
          <w:sz w:val="24"/>
          <w:highlight w:val="white"/>
          <w:lang w:eastAsia="zh-CN"/>
        </w:rPr>
        <w:t>2</w:t>
      </w:r>
      <w:r>
        <w:rPr>
          <w:rFonts w:ascii="宋体" w:hAnsi="宋体" w:cs="宋体"/>
          <w:sz w:val="24"/>
          <w:highlight w:val="white"/>
          <w:lang w:eastAsia="zh-CN"/>
        </w:rPr>
        <w:t>日内在规定媒介公告；</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6</w:t>
      </w:r>
      <w:r>
        <w:rPr>
          <w:rFonts w:ascii="宋体" w:hAnsi="宋体" w:cs="宋体"/>
          <w:sz w:val="24"/>
          <w:highlight w:val="white"/>
          <w:lang w:eastAsia="zh-CN"/>
        </w:rPr>
        <w:t>）交接：基金托管人职责终止的，应当妥善保管基</w:t>
      </w:r>
      <w:r>
        <w:rPr>
          <w:rFonts w:ascii="宋体" w:hAnsi="宋体" w:cs="宋体"/>
          <w:sz w:val="24"/>
          <w:highlight w:val="white"/>
          <w:lang w:eastAsia="zh-CN"/>
        </w:rPr>
        <w:t>金财产和基金托管业务资料，及时办理基金财产和基金托管业务的移交手续，新任基金托管人或者临时基金托管人应当及时接收。新任基金托管人与基金管理人核对基金资产总值；</w:t>
      </w:r>
    </w:p>
    <w:p w:rsidR="00052C6C">
      <w:pPr>
        <w:snapToGrid w:val="0"/>
        <w:ind w:firstLine="480"/>
        <w:rPr>
          <w:rFonts w:ascii="宋体" w:hAnsi="宋体" w:cs="宋体"/>
          <w:sz w:val="24"/>
          <w:lang w:eastAsia="zh-CN"/>
        </w:rPr>
      </w:pPr>
      <w:r>
        <w:rPr>
          <w:rFonts w:ascii="宋体" w:hAnsi="宋体" w:cs="宋体"/>
          <w:sz w:val="24"/>
          <w:highlight w:val="white"/>
          <w:lang w:eastAsia="zh-CN"/>
        </w:rPr>
        <w:t>（</w:t>
      </w:r>
      <w:r>
        <w:rPr>
          <w:rFonts w:ascii="宋体" w:hAnsi="宋体" w:cs="宋体"/>
          <w:sz w:val="24"/>
          <w:highlight w:val="white"/>
          <w:lang w:eastAsia="zh-CN"/>
        </w:rPr>
        <w:t>7</w:t>
      </w:r>
      <w:r>
        <w:rPr>
          <w:rFonts w:ascii="宋体" w:hAnsi="宋体" w:cs="宋体"/>
          <w:sz w:val="24"/>
          <w:highlight w:val="white"/>
          <w:lang w:eastAsia="zh-CN"/>
        </w:rPr>
        <w:t>）审计：基金托管人职责终止的，应当按照法律法规规定聘请会计师事务所对基金财产进行审计，并将审计结果予以公告，同时报中国证监会备案。审计费用从基金财产中列支。</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（三）基金管理人与基金托管人同时更换的条件和程序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提名：如果基金管理人和基金托管人同时更换，由单独或合计持有基金总份额</w:t>
      </w:r>
      <w:r>
        <w:rPr>
          <w:rFonts w:ascii="宋体" w:hAnsi="宋体" w:cs="宋体" w:hint="eastAsia"/>
          <w:sz w:val="24"/>
          <w:highlight w:val="white"/>
          <w:lang w:eastAsia="zh-CN"/>
        </w:rPr>
        <w:t>10%</w:t>
      </w:r>
      <w:r>
        <w:rPr>
          <w:rFonts w:ascii="宋体" w:hAnsi="宋体" w:cs="宋体" w:hint="eastAsia"/>
          <w:sz w:val="24"/>
          <w:highlight w:val="white"/>
          <w:lang w:eastAsia="zh-CN"/>
        </w:rPr>
        <w:t>以上（含</w:t>
      </w:r>
      <w:r>
        <w:rPr>
          <w:rFonts w:ascii="宋体" w:hAnsi="宋体" w:cs="宋体" w:hint="eastAsia"/>
          <w:sz w:val="24"/>
          <w:highlight w:val="white"/>
          <w:lang w:eastAsia="zh-CN"/>
        </w:rPr>
        <w:t>10%</w:t>
      </w:r>
      <w:r>
        <w:rPr>
          <w:rFonts w:ascii="宋体" w:hAnsi="宋体" w:cs="宋体" w:hint="eastAsia"/>
          <w:sz w:val="24"/>
          <w:highlight w:val="white"/>
          <w:lang w:eastAsia="zh-CN"/>
        </w:rPr>
        <w:t>）的基金份额持有人提名新的基金管理人和基金托管人</w:t>
      </w:r>
      <w:r>
        <w:rPr>
          <w:rFonts w:ascii="宋体" w:hAnsi="宋体" w:cs="宋体" w:hint="eastAsia"/>
          <w:sz w:val="24"/>
          <w:highlight w:val="white"/>
          <w:lang w:eastAsia="zh-CN"/>
        </w:rPr>
        <w:t>；</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基金管理人和基金托管人的更换分别按上述程序进行；</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公告：新任基金管理人和新任基金托管人应在更换基金管理人和基金托管人的基金份额持有人大会决议生效后</w:t>
      </w:r>
      <w:r>
        <w:rPr>
          <w:rFonts w:ascii="宋体" w:hAnsi="宋体" w:cs="宋体" w:hint="eastAsia"/>
          <w:sz w:val="24"/>
          <w:highlight w:val="white"/>
          <w:lang w:eastAsia="zh-CN"/>
        </w:rPr>
        <w:t>2</w:t>
      </w:r>
      <w:r>
        <w:rPr>
          <w:rFonts w:ascii="宋体" w:hAnsi="宋体" w:cs="宋体" w:hint="eastAsia"/>
          <w:sz w:val="24"/>
          <w:highlight w:val="white"/>
          <w:lang w:eastAsia="zh-CN"/>
        </w:rPr>
        <w:t>日内在规定媒介上联合公告。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52C6C">
      <w:pPr>
        <w:snapToGrid w:val="0"/>
        <w:rPr>
          <w:rFonts w:ascii="宋体" w:hAnsi="宋体" w:cs="宋体"/>
          <w:sz w:val="24"/>
          <w:lang w:eastAsia="zh-CN"/>
        </w:rPr>
      </w:pPr>
    </w:p>
    <w:p w:rsidR="00052C6C">
      <w:pPr>
        <w:pStyle w:val="21"/>
        <w:jc w:val="center"/>
        <w:rPr>
          <w:rFonts w:ascii="宋体" w:eastAsia="宋体" w:hAnsi="宋体" w:cs="宋体"/>
          <w:sz w:val="30"/>
          <w:lang w:eastAsia="zh-CN"/>
        </w:rPr>
      </w:pPr>
      <w:bookmarkStart w:id="93" w:name="_Toc164350600"/>
      <w:r>
        <w:rPr>
          <w:rFonts w:ascii="宋体" w:eastAsia="宋体" w:hAnsi="宋体" w:cs="宋体" w:hint="eastAsia"/>
          <w:sz w:val="30"/>
          <w:highlight w:val="white"/>
          <w:lang w:eastAsia="zh-CN"/>
        </w:rPr>
        <w:t>十五、禁止行为</w:t>
      </w:r>
      <w:bookmarkEnd w:id="93"/>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本协议当事人禁止从事的行为，包括但不限于：</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（一）基金管理人、基金托管人将其固有财产或者他人财产混同于基金财产从事</w:t>
      </w:r>
      <w:r>
        <w:rPr>
          <w:rFonts w:ascii="宋体" w:hAnsi="宋体" w:cs="宋体" w:hint="eastAsia"/>
          <w:sz w:val="24"/>
          <w:highlight w:val="white"/>
          <w:lang w:eastAsia="zh-CN"/>
        </w:rPr>
        <w:t>证券投资。</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（二）基金管理人不公平地对待其管理的不同基金财产，基金托管人不公平地对待其托管的不同基金财产。</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（三）基金管理人、基金托管人利用基金财产为基金份额持有人以外的第三人牟取利益。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（四）基金管理人、基金托管人向基金份额持有人违规承诺收益或者承担损失。</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（五）基金管理人、基金托管人对他人泄漏基金运作和管理过程中任何尚未按法律法规规定的方式公开披露的信息。</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（六）基金管理人在没有充足资金的情况下向基金托管人发出投资指令和赎回、分红资金的划拨指令，或违规向基金托管人发出指令。</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（七）基金管理人、基金托管人在行政上、财务上不独立</w:t>
      </w:r>
      <w:r>
        <w:rPr>
          <w:rFonts w:ascii="宋体" w:hAnsi="宋体" w:cs="宋体" w:hint="eastAsia"/>
          <w:sz w:val="24"/>
          <w:highlight w:val="white"/>
          <w:lang w:eastAsia="zh-CN"/>
        </w:rPr>
        <w:t xml:space="preserve">, </w:t>
      </w:r>
      <w:r>
        <w:rPr>
          <w:rFonts w:ascii="宋体" w:hAnsi="宋体" w:cs="宋体" w:hint="eastAsia"/>
          <w:sz w:val="24"/>
          <w:highlight w:val="white"/>
          <w:lang w:eastAsia="zh-CN"/>
        </w:rPr>
        <w:t>其高级管理人员和其他从业人员相互兼职。</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（八）基金托管人私自动用或处分基金财产，根据基金管理人的合法指令、《基金合同》或托管协议的规定进行处分的除外。</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（九）基金财产用于下列投资或者活动：</w:t>
      </w:r>
      <w:r w:rsidR="00855FAF">
        <w:rPr>
          <w:rFonts w:ascii="宋体" w:hAnsi="宋体" w:cs="宋体"/>
          <w:sz w:val="24"/>
          <w:highlight w:val="white"/>
          <w:lang w:eastAsia="zh-CN"/>
        </w:rPr>
        <w:t>1.</w:t>
      </w:r>
      <w:r>
        <w:rPr>
          <w:rFonts w:ascii="宋体" w:hAnsi="宋体" w:cs="宋体"/>
          <w:sz w:val="24"/>
          <w:highlight w:val="white"/>
          <w:lang w:eastAsia="zh-CN"/>
        </w:rPr>
        <w:t>承销证券；</w:t>
      </w:r>
      <w:r w:rsidR="00855FAF">
        <w:rPr>
          <w:rFonts w:ascii="宋体" w:hAnsi="宋体" w:cs="宋体" w:hint="eastAsia"/>
          <w:sz w:val="24"/>
          <w:highlight w:val="white"/>
          <w:lang w:eastAsia="zh-CN"/>
        </w:rPr>
        <w:t>2</w:t>
      </w:r>
      <w:r w:rsidR="00855FAF">
        <w:rPr>
          <w:rFonts w:ascii="宋体" w:hAnsi="宋体" w:cs="宋体"/>
          <w:sz w:val="24"/>
          <w:highlight w:val="white"/>
          <w:lang w:eastAsia="zh-CN"/>
        </w:rPr>
        <w:t>.</w:t>
      </w:r>
      <w:r>
        <w:rPr>
          <w:rFonts w:ascii="宋体" w:hAnsi="宋体" w:cs="宋体"/>
          <w:sz w:val="24"/>
          <w:highlight w:val="white"/>
          <w:lang w:eastAsia="zh-CN"/>
        </w:rPr>
        <w:t>违反规定向他人贷款或者提供担保；</w:t>
      </w:r>
      <w:r w:rsidR="00855FAF">
        <w:rPr>
          <w:rFonts w:ascii="宋体" w:hAnsi="宋体" w:cs="宋体" w:hint="eastAsia"/>
          <w:sz w:val="24"/>
          <w:highlight w:val="white"/>
          <w:lang w:eastAsia="zh-CN"/>
        </w:rPr>
        <w:t>3.</w:t>
      </w:r>
      <w:r>
        <w:rPr>
          <w:rFonts w:ascii="宋体" w:hAnsi="宋体" w:cs="宋体"/>
          <w:sz w:val="24"/>
          <w:highlight w:val="white"/>
          <w:lang w:eastAsia="zh-CN"/>
        </w:rPr>
        <w:t>从事承担无限责任的投资；</w:t>
      </w:r>
      <w:r w:rsidR="00855FAF">
        <w:rPr>
          <w:rFonts w:ascii="宋体" w:hAnsi="宋体" w:cs="宋体" w:hint="eastAsia"/>
          <w:sz w:val="24"/>
          <w:highlight w:val="white"/>
          <w:lang w:eastAsia="zh-CN"/>
        </w:rPr>
        <w:t>4</w:t>
      </w:r>
      <w:r w:rsidR="00855FAF">
        <w:rPr>
          <w:rFonts w:ascii="宋体" w:hAnsi="宋体" w:cs="宋体"/>
          <w:sz w:val="24"/>
          <w:highlight w:val="white"/>
          <w:lang w:eastAsia="zh-CN"/>
        </w:rPr>
        <w:t>.</w:t>
      </w:r>
      <w:r>
        <w:rPr>
          <w:rFonts w:ascii="宋体" w:hAnsi="宋体" w:cs="宋体"/>
          <w:sz w:val="24"/>
          <w:highlight w:val="white"/>
          <w:lang w:eastAsia="zh-CN"/>
        </w:rPr>
        <w:t>向其基金管理人、基金托管人出资；</w:t>
      </w:r>
      <w:r w:rsidR="00855FAF">
        <w:rPr>
          <w:rFonts w:ascii="宋体" w:hAnsi="宋体" w:cs="宋体" w:hint="eastAsia"/>
          <w:sz w:val="24"/>
          <w:highlight w:val="white"/>
          <w:lang w:eastAsia="zh-CN"/>
        </w:rPr>
        <w:t>5.</w:t>
      </w:r>
      <w:r>
        <w:rPr>
          <w:rFonts w:ascii="宋体" w:hAnsi="宋体" w:cs="宋体"/>
          <w:sz w:val="24"/>
          <w:highlight w:val="white"/>
          <w:lang w:eastAsia="zh-CN"/>
        </w:rPr>
        <w:t>从事内幕交易、操纵证券交易价格及其他不正当的证券交易活动；</w:t>
      </w:r>
      <w:r w:rsidR="00855FAF">
        <w:rPr>
          <w:rFonts w:ascii="宋体" w:hAnsi="宋体" w:cs="宋体" w:hint="eastAsia"/>
          <w:sz w:val="24"/>
          <w:highlight w:val="white"/>
          <w:lang w:eastAsia="zh-CN"/>
        </w:rPr>
        <w:t>6.</w:t>
      </w:r>
      <w:r>
        <w:rPr>
          <w:rFonts w:ascii="宋体" w:hAnsi="宋体" w:cs="宋体"/>
          <w:sz w:val="24"/>
          <w:highlight w:val="white"/>
          <w:lang w:eastAsia="zh-CN"/>
        </w:rPr>
        <w:t>法律、行政法规和中国证监会规定禁止的其他活动。</w:t>
      </w:r>
      <w:r>
        <w:rPr>
          <w:rFonts w:ascii="宋体" w:hAnsi="宋体" w:cs="宋体" w:hint="eastAsia"/>
          <w:sz w:val="24"/>
          <w:highlight w:val="white"/>
          <w:lang w:eastAsia="zh-CN"/>
        </w:rPr>
        <w:t>法律法规或监管部门取消上述限制，则本基金投资不再受相关限制。</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（十）法律法规和《基金合同》禁止的其他行为，以及依照法律、行政法规有关规定，由中国证监会规定禁止基金管理人、基金托管人从事的其他行为。</w:t>
      </w:r>
    </w:p>
    <w:p w:rsidR="00052C6C">
      <w:pPr>
        <w:snapToGrid w:val="0"/>
        <w:ind w:firstLine="480"/>
        <w:rPr>
          <w:rFonts w:ascii="宋体" w:hAnsi="宋体" w:cs="宋体"/>
          <w:sz w:val="24"/>
          <w:lang w:eastAsia="zh-CN"/>
        </w:rPr>
      </w:pPr>
    </w:p>
    <w:p w:rsidR="00052C6C">
      <w:pPr>
        <w:pStyle w:val="21"/>
        <w:jc w:val="center"/>
        <w:rPr>
          <w:rFonts w:ascii="宋体" w:eastAsia="宋体" w:hAnsi="宋体" w:cs="宋体"/>
          <w:sz w:val="30"/>
          <w:lang w:eastAsia="zh-CN"/>
        </w:rPr>
      </w:pPr>
      <w:bookmarkStart w:id="94" w:name="_Toc164350601"/>
      <w:r>
        <w:rPr>
          <w:rFonts w:ascii="宋体" w:eastAsia="宋体" w:hAnsi="宋体" w:cs="宋体" w:hint="eastAsia"/>
          <w:sz w:val="30"/>
          <w:highlight w:val="white"/>
          <w:lang w:eastAsia="zh-CN"/>
        </w:rPr>
        <w:t>十六、托管协议的变更、终止与基金财产的清算</w:t>
      </w:r>
      <w:bookmarkEnd w:id="94"/>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（一）托管协议的变更程序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本协议双方当事人经协商一致，可以对协议进行修改。修改后的新协议，其内容不得与《基金合同》的规定有任何冲突。</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（二）托管协议终止的情形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hint="eastAsia"/>
          <w:sz w:val="24"/>
          <w:highlight w:val="white"/>
          <w:lang w:eastAsia="zh-CN"/>
        </w:rPr>
        <w:t>《基金合同》终止；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hint="eastAsia"/>
          <w:sz w:val="24"/>
          <w:highlight w:val="white"/>
          <w:lang w:eastAsia="zh-CN"/>
        </w:rPr>
        <w:t>基金托管人解散、依法被撤销、破产或由其他基金托管人接管基金资产；</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hint="eastAsia"/>
          <w:sz w:val="24"/>
          <w:highlight w:val="white"/>
          <w:lang w:eastAsia="zh-CN"/>
        </w:rPr>
        <w:t>基金管理人</w:t>
      </w:r>
      <w:r>
        <w:rPr>
          <w:rFonts w:ascii="宋体" w:hAnsi="宋体" w:cs="宋体" w:hint="eastAsia"/>
          <w:sz w:val="24"/>
          <w:highlight w:val="white"/>
          <w:lang w:eastAsia="zh-CN"/>
        </w:rPr>
        <w:t>解散、依法被撤销、破产或由其他基金管理人接管基金管理权；</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hint="eastAsia"/>
          <w:sz w:val="24"/>
          <w:highlight w:val="white"/>
          <w:lang w:eastAsia="zh-CN"/>
        </w:rPr>
        <w:t>发生法律法规、中国证监会或《基金合同》规定的终止事项。</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（三）基金财产的清算</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基金财产清算小组：自出现《基金合同》终止事由之日起</w:t>
      </w:r>
      <w:r>
        <w:rPr>
          <w:rFonts w:ascii="宋体" w:hAnsi="宋体" w:cs="宋体" w:hint="eastAsia"/>
          <w:sz w:val="24"/>
          <w:highlight w:val="white"/>
          <w:lang w:eastAsia="zh-CN"/>
        </w:rPr>
        <w:t>30</w:t>
      </w:r>
      <w:r>
        <w:rPr>
          <w:rFonts w:ascii="宋体" w:hAnsi="宋体" w:cs="宋体" w:hint="eastAsia"/>
          <w:sz w:val="24"/>
          <w:highlight w:val="white"/>
          <w:lang w:eastAsia="zh-CN"/>
        </w:rPr>
        <w:t>个工作日内成立清算小组，基金管理人组织基金财产清算小组并在中国证监会的监督下进行基金清算。</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sz w:val="24"/>
          <w:highlight w:val="white"/>
          <w:lang w:eastAsia="zh-CN"/>
        </w:rPr>
        <w:t>.</w:t>
      </w:r>
      <w:r>
        <w:rPr>
          <w:rFonts w:ascii="宋体" w:hAnsi="宋体" w:cs="宋体" w:hint="eastAsia"/>
          <w:sz w:val="24"/>
          <w:highlight w:val="white"/>
          <w:lang w:eastAsia="zh-CN"/>
        </w:rPr>
        <w:t>基金财产清算小组职责：基金财产清算小组负责基金财产的保管、</w:t>
      </w:r>
      <w:r>
        <w:rPr>
          <w:rFonts w:ascii="宋体" w:hAnsi="宋体" w:cs="宋体" w:hint="eastAsia"/>
          <w:sz w:val="24"/>
          <w:highlight w:val="white"/>
          <w:lang w:eastAsia="zh-CN"/>
        </w:rPr>
        <w:t>清理、估价、变现和分配。基金财产清算小组可以依法进行必要的民事活动。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4</w:t>
      </w:r>
      <w:r>
        <w:rPr>
          <w:rFonts w:ascii="宋体" w:hAnsi="宋体" w:cs="宋体"/>
          <w:sz w:val="24"/>
          <w:highlight w:val="white"/>
          <w:lang w:eastAsia="zh-CN"/>
        </w:rPr>
        <w:t>.</w:t>
      </w:r>
      <w:r>
        <w:rPr>
          <w:rFonts w:ascii="宋体" w:hAnsi="宋体" w:cs="宋体" w:hint="eastAsia"/>
          <w:sz w:val="24"/>
          <w:highlight w:val="white"/>
          <w:lang w:eastAsia="zh-CN"/>
        </w:rPr>
        <w:t>基金财产清算程序：</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1</w:t>
      </w:r>
      <w:r>
        <w:rPr>
          <w:rFonts w:ascii="宋体" w:hAnsi="宋体" w:cs="宋体" w:hint="eastAsia"/>
          <w:sz w:val="24"/>
          <w:highlight w:val="white"/>
          <w:lang w:eastAsia="zh-CN"/>
        </w:rPr>
        <w:t>）《基金合同》终止情形出现时，由基金财产清算小组统一接管基金；</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2</w:t>
      </w:r>
      <w:r>
        <w:rPr>
          <w:rFonts w:ascii="宋体" w:hAnsi="宋体" w:cs="宋体" w:hint="eastAsia"/>
          <w:sz w:val="24"/>
          <w:highlight w:val="white"/>
          <w:lang w:eastAsia="zh-CN"/>
        </w:rPr>
        <w:t>）对基金财产和债权债务进行清理和确认；</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3</w:t>
      </w:r>
      <w:r>
        <w:rPr>
          <w:rFonts w:ascii="宋体" w:hAnsi="宋体" w:cs="宋体" w:hint="eastAsia"/>
          <w:sz w:val="24"/>
          <w:highlight w:val="white"/>
          <w:lang w:eastAsia="zh-CN"/>
        </w:rPr>
        <w:t>）对基金财产进行估值和变现；</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4</w:t>
      </w:r>
      <w:r>
        <w:rPr>
          <w:rFonts w:ascii="宋体" w:hAnsi="宋体" w:cs="宋体" w:hint="eastAsia"/>
          <w:sz w:val="24"/>
          <w:highlight w:val="white"/>
          <w:lang w:eastAsia="zh-CN"/>
        </w:rPr>
        <w:t>）制作清算报告；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5</w:t>
      </w:r>
      <w:r>
        <w:rPr>
          <w:rFonts w:ascii="宋体" w:hAnsi="宋体" w:cs="宋体" w:hint="eastAsia"/>
          <w:sz w:val="24"/>
          <w:highlight w:val="white"/>
          <w:lang w:eastAsia="zh-CN"/>
        </w:rPr>
        <w:t>）聘请会计师事务所对清算报告进行外部审计，聘请律师事务所对清算报告出具法律意见书；</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6</w:t>
      </w:r>
      <w:r>
        <w:rPr>
          <w:rFonts w:ascii="宋体" w:hAnsi="宋体" w:cs="宋体" w:hint="eastAsia"/>
          <w:sz w:val="24"/>
          <w:highlight w:val="white"/>
          <w:lang w:eastAsia="zh-CN"/>
        </w:rPr>
        <w:t>）将清算报告报中国证监会备案并公告；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w:t>
      </w:r>
      <w:r>
        <w:rPr>
          <w:rFonts w:ascii="宋体" w:hAnsi="宋体" w:cs="宋体" w:hint="eastAsia"/>
          <w:sz w:val="24"/>
          <w:highlight w:val="white"/>
          <w:lang w:eastAsia="zh-CN"/>
        </w:rPr>
        <w:t>7</w:t>
      </w:r>
      <w:r>
        <w:rPr>
          <w:rFonts w:ascii="宋体" w:hAnsi="宋体" w:cs="宋体" w:hint="eastAsia"/>
          <w:sz w:val="24"/>
          <w:highlight w:val="white"/>
          <w:lang w:eastAsia="zh-CN"/>
        </w:rPr>
        <w:t>）对基金剩余财产进行分配。</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5</w:t>
      </w:r>
      <w:r>
        <w:rPr>
          <w:rFonts w:ascii="宋体" w:hAnsi="宋体" w:cs="宋体"/>
          <w:sz w:val="24"/>
          <w:highlight w:val="white"/>
          <w:lang w:eastAsia="zh-CN"/>
        </w:rPr>
        <w:t>.</w:t>
      </w:r>
      <w:r>
        <w:rPr>
          <w:rFonts w:ascii="宋体" w:hAnsi="宋体" w:cs="宋体" w:hint="eastAsia"/>
          <w:sz w:val="24"/>
          <w:highlight w:val="white"/>
          <w:lang w:eastAsia="zh-CN"/>
        </w:rPr>
        <w:t>基金财产清算的期限为</w:t>
      </w:r>
      <w:r>
        <w:rPr>
          <w:rFonts w:ascii="宋体" w:hAnsi="宋体" w:cs="宋体" w:hint="eastAsia"/>
          <w:sz w:val="24"/>
          <w:highlight w:val="white"/>
          <w:lang w:eastAsia="zh-CN"/>
        </w:rPr>
        <w:t>6</w:t>
      </w:r>
      <w:r>
        <w:rPr>
          <w:rFonts w:ascii="宋体" w:hAnsi="宋体" w:cs="宋体" w:hint="eastAsia"/>
          <w:sz w:val="24"/>
          <w:highlight w:val="white"/>
          <w:lang w:eastAsia="zh-CN"/>
        </w:rPr>
        <w:t>个月，但因本基金所持证券的流动性受到限制而不能及时变现的，清算期限相应顺延。</w:t>
      </w:r>
    </w:p>
    <w:p w:rsidR="00052C6C">
      <w:pPr>
        <w:snapToGrid w:val="0"/>
        <w:ind w:firstLine="480"/>
        <w:rPr>
          <w:rFonts w:ascii="宋体" w:hAnsi="宋体" w:cs="宋体"/>
          <w:sz w:val="24"/>
          <w:lang w:eastAsia="zh-CN"/>
        </w:rPr>
      </w:pPr>
      <w:r>
        <w:rPr>
          <w:rFonts w:ascii="宋体" w:hAnsi="宋体" w:cs="宋体"/>
          <w:sz w:val="24"/>
          <w:highlight w:val="white"/>
          <w:lang w:eastAsia="zh-CN"/>
        </w:rPr>
        <w:t>6.</w:t>
      </w:r>
      <w:r>
        <w:rPr>
          <w:rFonts w:ascii="宋体" w:hAnsi="宋体" w:cs="宋体" w:hint="eastAsia"/>
          <w:sz w:val="24"/>
          <w:highlight w:val="white"/>
          <w:lang w:eastAsia="zh-CN"/>
        </w:rPr>
        <w:t>清算费用</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清算费用是指基金财产清算小组在进行基金清算过程中发生的所有合理费用，清算费用由基金财产清算小组优先从基金财产中支付。</w:t>
      </w:r>
    </w:p>
    <w:p w:rsidR="00052C6C">
      <w:pPr>
        <w:snapToGrid w:val="0"/>
        <w:ind w:firstLine="480"/>
        <w:rPr>
          <w:rFonts w:ascii="宋体" w:hAnsi="宋体" w:cs="宋体"/>
          <w:sz w:val="24"/>
          <w:lang w:eastAsia="zh-CN"/>
        </w:rPr>
      </w:pPr>
      <w:r>
        <w:rPr>
          <w:rFonts w:ascii="宋体" w:hAnsi="宋体" w:cs="宋体"/>
          <w:sz w:val="24"/>
          <w:highlight w:val="white"/>
          <w:lang w:eastAsia="zh-CN"/>
        </w:rPr>
        <w:t>7.</w:t>
      </w:r>
      <w:r>
        <w:rPr>
          <w:rFonts w:ascii="宋体" w:hAnsi="宋体" w:cs="宋体" w:hint="eastAsia"/>
          <w:sz w:val="24"/>
          <w:highlight w:val="white"/>
          <w:lang w:eastAsia="zh-CN"/>
        </w:rPr>
        <w:t>基金财产清算剩余资产的分配</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052C6C">
      <w:pPr>
        <w:snapToGrid w:val="0"/>
        <w:ind w:firstLine="480"/>
        <w:rPr>
          <w:rFonts w:ascii="宋体" w:hAnsi="宋体" w:cs="宋体"/>
          <w:sz w:val="24"/>
          <w:lang w:eastAsia="zh-CN"/>
        </w:rPr>
      </w:pPr>
      <w:r>
        <w:rPr>
          <w:rFonts w:ascii="宋体" w:hAnsi="宋体" w:cs="宋体"/>
          <w:sz w:val="24"/>
          <w:highlight w:val="white"/>
          <w:lang w:eastAsia="zh-CN"/>
        </w:rPr>
        <w:t>8.</w:t>
      </w:r>
      <w:r>
        <w:rPr>
          <w:rFonts w:ascii="宋体" w:hAnsi="宋体" w:cs="宋体" w:hint="eastAsia"/>
          <w:sz w:val="24"/>
          <w:highlight w:val="white"/>
          <w:lang w:eastAsia="zh-CN"/>
        </w:rPr>
        <w:t>基金财产清算的公告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清算过程中的有关重大事项须及时公告；基金财产清算报告经符合《证券法》</w:t>
      </w:r>
      <w:r>
        <w:rPr>
          <w:rFonts w:ascii="宋体" w:hAnsi="宋体" w:cs="宋体" w:hint="eastAsia"/>
          <w:sz w:val="24"/>
          <w:highlight w:val="white"/>
          <w:lang w:eastAsia="zh-CN"/>
        </w:rPr>
        <w:t>规定的会计师事务所审计并由律师事务所出具法律意见书后报中国证监会备案并公告。基金财产清算公告于基金财产清算报告报中国证监会备案后</w:t>
      </w:r>
      <w:r>
        <w:rPr>
          <w:rFonts w:ascii="宋体" w:hAnsi="宋体" w:cs="宋体" w:hint="eastAsia"/>
          <w:sz w:val="24"/>
          <w:highlight w:val="white"/>
          <w:lang w:eastAsia="zh-CN"/>
        </w:rPr>
        <w:t>5</w:t>
      </w:r>
      <w:r>
        <w:rPr>
          <w:rFonts w:ascii="宋体" w:hAnsi="宋体" w:cs="宋体" w:hint="eastAsia"/>
          <w:sz w:val="24"/>
          <w:highlight w:val="white"/>
          <w:lang w:eastAsia="zh-CN"/>
        </w:rPr>
        <w:t>个工作日内由基金财产清算小组进行公告。</w:t>
      </w:r>
    </w:p>
    <w:p w:rsidR="00052C6C">
      <w:pPr>
        <w:snapToGrid w:val="0"/>
        <w:ind w:firstLine="480"/>
        <w:rPr>
          <w:rFonts w:ascii="宋体" w:hAnsi="宋体" w:cs="宋体"/>
          <w:sz w:val="24"/>
          <w:lang w:eastAsia="zh-CN"/>
        </w:rPr>
      </w:pPr>
      <w:r>
        <w:rPr>
          <w:rFonts w:ascii="宋体" w:hAnsi="宋体" w:cs="宋体"/>
          <w:sz w:val="24"/>
          <w:highlight w:val="white"/>
          <w:lang w:eastAsia="zh-CN"/>
        </w:rPr>
        <w:t>9.</w:t>
      </w:r>
      <w:r>
        <w:rPr>
          <w:rFonts w:ascii="宋体" w:hAnsi="宋体" w:cs="宋体" w:hint="eastAsia"/>
          <w:sz w:val="24"/>
          <w:highlight w:val="white"/>
          <w:lang w:eastAsia="zh-CN"/>
        </w:rPr>
        <w:t>基金财产清算账册及文件的保存</w:t>
      </w:r>
    </w:p>
    <w:p w:rsidR="00052C6C">
      <w:pPr>
        <w:ind w:firstLine="480"/>
        <w:rPr>
          <w:rFonts w:ascii="宋体" w:hAnsi="宋体" w:cs="宋体"/>
          <w:sz w:val="24"/>
          <w:lang w:eastAsia="zh-CN"/>
        </w:rPr>
      </w:pPr>
      <w:r>
        <w:rPr>
          <w:rFonts w:ascii="宋体" w:hAnsi="宋体" w:cs="宋体" w:hint="eastAsia"/>
          <w:sz w:val="24"/>
          <w:highlight w:val="white"/>
          <w:lang w:eastAsia="zh-CN"/>
        </w:rPr>
        <w:t>基金财产清算账册及有关文件由基金托管人保存</w:t>
      </w:r>
      <w:r>
        <w:rPr>
          <w:rFonts w:ascii="宋体" w:hAnsi="宋体" w:cs="宋体" w:hint="eastAsia"/>
          <w:sz w:val="24"/>
          <w:highlight w:val="white"/>
          <w:lang w:eastAsia="zh-CN"/>
        </w:rPr>
        <w:t>20</w:t>
      </w:r>
      <w:r>
        <w:rPr>
          <w:rFonts w:ascii="宋体" w:hAnsi="宋体" w:cs="宋体" w:hint="eastAsia"/>
          <w:sz w:val="24"/>
          <w:highlight w:val="white"/>
          <w:lang w:eastAsia="zh-CN"/>
        </w:rPr>
        <w:t>年以上。</w:t>
      </w:r>
    </w:p>
    <w:p w:rsidR="00052C6C">
      <w:pPr>
        <w:snapToGrid w:val="0"/>
        <w:ind w:firstLine="480"/>
        <w:rPr>
          <w:rFonts w:ascii="宋体" w:hAnsi="宋体" w:cs="宋体"/>
          <w:sz w:val="24"/>
          <w:lang w:eastAsia="zh-CN"/>
        </w:rPr>
      </w:pPr>
    </w:p>
    <w:p w:rsidR="00052C6C">
      <w:pPr>
        <w:pStyle w:val="21"/>
        <w:jc w:val="center"/>
        <w:rPr>
          <w:rFonts w:ascii="宋体" w:eastAsia="宋体" w:hAnsi="宋体" w:cs="宋体"/>
          <w:sz w:val="30"/>
          <w:lang w:eastAsia="zh-CN"/>
        </w:rPr>
      </w:pPr>
      <w:bookmarkStart w:id="95" w:name="_Toc164350602"/>
      <w:r>
        <w:rPr>
          <w:rFonts w:ascii="宋体" w:eastAsia="宋体" w:hAnsi="宋体" w:cs="宋体" w:hint="eastAsia"/>
          <w:sz w:val="30"/>
          <w:highlight w:val="white"/>
          <w:lang w:eastAsia="zh-CN"/>
        </w:rPr>
        <w:t>十七、违约责任</w:t>
      </w:r>
      <w:bookmarkEnd w:id="95"/>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（一）基金管理人、基金托管人不履行本协议或履行本协议不符合约定的，应当承担违约责任。</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（二）基金管理人、基金托管人在履行各自职责的过程中，违反《基金法》或者《基金合同》和本托管协议约定，给基金财产或者基金份额持有人造成损害的，应当分别</w:t>
      </w:r>
      <w:r>
        <w:rPr>
          <w:rFonts w:ascii="宋体" w:hAnsi="宋体" w:cs="宋体" w:hint="eastAsia"/>
          <w:sz w:val="24"/>
          <w:highlight w:val="white"/>
          <w:lang w:eastAsia="zh-CN"/>
        </w:rPr>
        <w:t>对各自的行为依法承担赔偿责任；因共同行为给基金财产或者基金份额持有人造成损害的，应当承担连带赔偿责任。</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1</w:t>
      </w:r>
      <w:r>
        <w:rPr>
          <w:rFonts w:ascii="宋体" w:hAnsi="宋体" w:cs="宋体"/>
          <w:sz w:val="24"/>
          <w:highlight w:val="white"/>
          <w:lang w:eastAsia="zh-CN"/>
        </w:rPr>
        <w:t>.</w:t>
      </w:r>
      <w:r>
        <w:rPr>
          <w:rFonts w:ascii="宋体" w:hAnsi="宋体" w:cs="宋体" w:hint="eastAsia"/>
          <w:sz w:val="24"/>
          <w:highlight w:val="white"/>
          <w:lang w:eastAsia="zh-CN"/>
        </w:rPr>
        <w:t>不可抗力；</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2</w:t>
      </w:r>
      <w:r>
        <w:rPr>
          <w:rFonts w:ascii="宋体" w:hAnsi="宋体" w:cs="宋体"/>
          <w:sz w:val="24"/>
          <w:highlight w:val="white"/>
          <w:lang w:eastAsia="zh-CN"/>
        </w:rPr>
        <w:t>.</w:t>
      </w:r>
      <w:r>
        <w:rPr>
          <w:rFonts w:ascii="宋体" w:hAnsi="宋体" w:cs="宋体" w:hint="eastAsia"/>
          <w:sz w:val="24"/>
          <w:highlight w:val="white"/>
          <w:lang w:eastAsia="zh-CN"/>
        </w:rPr>
        <w:t>基金管理人和</w:t>
      </w:r>
      <w:r>
        <w:rPr>
          <w:rFonts w:ascii="宋体" w:hAnsi="宋体" w:cs="宋体" w:hint="eastAsia"/>
          <w:sz w:val="24"/>
          <w:highlight w:val="white"/>
          <w:lang w:eastAsia="zh-CN"/>
        </w:rPr>
        <w:t>/</w:t>
      </w:r>
      <w:r>
        <w:rPr>
          <w:rFonts w:ascii="宋体" w:hAnsi="宋体" w:cs="宋体" w:hint="eastAsia"/>
          <w:sz w:val="24"/>
          <w:highlight w:val="white"/>
          <w:lang w:eastAsia="zh-CN"/>
        </w:rPr>
        <w:t>或基金托管人按照当时有效的法律法规或中国证监会的规定作为或不作为而造成的损失等；</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3</w:t>
      </w:r>
      <w:r>
        <w:rPr>
          <w:rFonts w:ascii="宋体" w:hAnsi="宋体" w:cs="宋体"/>
          <w:sz w:val="24"/>
          <w:highlight w:val="white"/>
          <w:lang w:eastAsia="zh-CN"/>
        </w:rPr>
        <w:t>.</w:t>
      </w:r>
      <w:r>
        <w:rPr>
          <w:rFonts w:ascii="宋体" w:hAnsi="宋体" w:cs="宋体"/>
          <w:sz w:val="24"/>
          <w:highlight w:val="white"/>
          <w:lang w:eastAsia="zh-CN"/>
        </w:rPr>
        <w:t>在没有过错的情况下，</w:t>
      </w:r>
      <w:r>
        <w:rPr>
          <w:rFonts w:ascii="宋体" w:hAnsi="宋体" w:cs="宋体" w:hint="eastAsia"/>
          <w:sz w:val="24"/>
          <w:highlight w:val="white"/>
          <w:lang w:eastAsia="zh-CN"/>
        </w:rPr>
        <w:t>基金管理人由于按照基金合同规定的投资原则投资或不投资造成的损失等。</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w:t>
      </w:r>
      <w:r>
        <w:rPr>
          <w:rFonts w:ascii="宋体" w:hAnsi="宋体" w:cs="宋体" w:hint="eastAsia"/>
          <w:sz w:val="24"/>
          <w:highlight w:val="white"/>
          <w:lang w:eastAsia="zh-CN"/>
        </w:rPr>
        <w:t>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（五）违约行为虽已发生，但本托管协议能够继续履行的，在最大限度地保护基金份额持有人利益的前提下，基金管理人和基金托管人应当继续履行本协议。</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（六）由于基金管理人、基金托管人不可控制的因素导致业务出现差错，基金管理人和基金托管人虽然已经采取必要、适当、合理的措施进行检查，但是未能发现错误的，由此造成基金财产或</w:t>
      </w:r>
      <w:r>
        <w:rPr>
          <w:rFonts w:ascii="宋体" w:hAnsi="宋体" w:cs="宋体" w:hint="eastAsia"/>
          <w:sz w:val="24"/>
          <w:highlight w:val="white"/>
          <w:lang w:eastAsia="zh-CN"/>
        </w:rPr>
        <w:t>投资人损失，基金管理人和基金托管人免除赔偿责任。但是基金管理人和基金托管人应积极采取必要的措施减轻或消除由此造成的影响。</w:t>
      </w:r>
    </w:p>
    <w:p w:rsidR="00052C6C">
      <w:pPr>
        <w:snapToGrid w:val="0"/>
        <w:outlineLvl w:val="0"/>
        <w:rPr>
          <w:rFonts w:ascii="宋体" w:hAnsi="宋体" w:cs="宋体"/>
          <w:sz w:val="24"/>
          <w:lang w:eastAsia="zh-CN"/>
        </w:rPr>
      </w:pPr>
    </w:p>
    <w:p w:rsidR="00052C6C">
      <w:pPr>
        <w:pStyle w:val="21"/>
        <w:jc w:val="center"/>
        <w:rPr>
          <w:rFonts w:ascii="宋体" w:eastAsia="宋体" w:hAnsi="宋体" w:cs="宋体"/>
          <w:sz w:val="30"/>
          <w:lang w:eastAsia="zh-CN"/>
        </w:rPr>
      </w:pPr>
      <w:bookmarkStart w:id="96" w:name="_Toc164350603"/>
      <w:r>
        <w:rPr>
          <w:rFonts w:ascii="宋体" w:eastAsia="宋体" w:hAnsi="宋体" w:cs="宋体" w:hint="eastAsia"/>
          <w:sz w:val="30"/>
          <w:highlight w:val="white"/>
          <w:lang w:eastAsia="zh-CN"/>
        </w:rPr>
        <w:t>十八、争议解决方式</w:t>
      </w:r>
      <w:bookmarkEnd w:id="96"/>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争议处理期间，双方当事人应恪守基金管理人和基金托管人职责，各自继续忠实、</w:t>
      </w:r>
      <w:r>
        <w:rPr>
          <w:rFonts w:ascii="宋体" w:hAnsi="宋体" w:cs="宋体" w:hint="eastAsia"/>
          <w:sz w:val="24"/>
          <w:highlight w:val="white"/>
          <w:lang w:eastAsia="zh-CN"/>
        </w:rPr>
        <w:t>勤勉、尽责地履行《基金合同》和本托管协议规定的义务，维护基金份额持有人的合法权益。</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本协议受中国法律管辖。</w:t>
      </w:r>
    </w:p>
    <w:p w:rsidR="00052C6C">
      <w:pPr>
        <w:snapToGrid w:val="0"/>
        <w:rPr>
          <w:rFonts w:ascii="宋体" w:hAnsi="宋体" w:cs="宋体"/>
          <w:sz w:val="24"/>
          <w:lang w:eastAsia="zh-CN"/>
        </w:rPr>
      </w:pPr>
    </w:p>
    <w:p w:rsidR="00052C6C">
      <w:pPr>
        <w:pStyle w:val="21"/>
        <w:jc w:val="center"/>
        <w:rPr>
          <w:rFonts w:ascii="宋体" w:eastAsia="宋体" w:hAnsi="宋体" w:cs="宋体"/>
          <w:sz w:val="30"/>
          <w:lang w:eastAsia="zh-CN"/>
        </w:rPr>
      </w:pPr>
      <w:bookmarkStart w:id="97" w:name="_Toc164350604"/>
      <w:r>
        <w:rPr>
          <w:rFonts w:ascii="宋体" w:eastAsia="宋体" w:hAnsi="宋体" w:cs="宋体" w:hint="eastAsia"/>
          <w:sz w:val="30"/>
          <w:highlight w:val="white"/>
          <w:lang w:eastAsia="zh-CN"/>
        </w:rPr>
        <w:t>十九、托管协议的效力</w:t>
      </w:r>
      <w:bookmarkEnd w:id="97"/>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双方对托管协议的效力约定如下：</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（二）托管协议自《基金合同》成立之日起成立，自《基金合同》生效之日起生效。托管协议的有效期自其生效之日起至基金财产清算结果报中国证监会备案并公告之日止。</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（三）托管协议自生效之日起对托管协议当事人具有同等的法律约束力。</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（四）本协议</w:t>
      </w:r>
      <w:r>
        <w:rPr>
          <w:rFonts w:ascii="宋体" w:hAnsi="宋体" w:cs="宋体"/>
          <w:sz w:val="24"/>
          <w:highlight w:val="white"/>
          <w:lang w:eastAsia="zh-CN"/>
        </w:rPr>
        <w:t>正本一式</w:t>
      </w:r>
      <w:r>
        <w:rPr>
          <w:rFonts w:ascii="宋体" w:hAnsi="宋体" w:cs="宋体" w:hint="eastAsia"/>
          <w:sz w:val="24"/>
          <w:highlight w:val="white"/>
          <w:lang w:eastAsia="zh-CN"/>
        </w:rPr>
        <w:t>六份，除</w:t>
      </w:r>
      <w:r>
        <w:rPr>
          <w:rFonts w:ascii="宋体" w:hAnsi="宋体" w:cs="宋体"/>
          <w:sz w:val="24"/>
          <w:highlight w:val="white"/>
          <w:lang w:eastAsia="zh-CN"/>
        </w:rPr>
        <w:t>上报有关监</w:t>
      </w:r>
      <w:r>
        <w:rPr>
          <w:rFonts w:ascii="宋体" w:hAnsi="宋体" w:cs="宋体" w:hint="eastAsia"/>
          <w:sz w:val="24"/>
          <w:highlight w:val="white"/>
          <w:lang w:eastAsia="zh-CN"/>
        </w:rPr>
        <w:t>管</w:t>
      </w:r>
      <w:r>
        <w:rPr>
          <w:rFonts w:ascii="宋体" w:hAnsi="宋体" w:cs="宋体"/>
          <w:sz w:val="24"/>
          <w:highlight w:val="white"/>
          <w:lang w:eastAsia="zh-CN"/>
        </w:rPr>
        <w:t>机构</w:t>
      </w:r>
      <w:r>
        <w:rPr>
          <w:rFonts w:ascii="宋体" w:hAnsi="宋体" w:cs="宋体" w:hint="eastAsia"/>
          <w:sz w:val="24"/>
          <w:highlight w:val="white"/>
          <w:lang w:eastAsia="zh-CN"/>
        </w:rPr>
        <w:t>二</w:t>
      </w:r>
      <w:r>
        <w:rPr>
          <w:rFonts w:ascii="宋体" w:hAnsi="宋体" w:cs="宋体"/>
          <w:sz w:val="24"/>
          <w:highlight w:val="white"/>
          <w:lang w:eastAsia="zh-CN"/>
        </w:rPr>
        <w:t>份外，基金管理人、基金托管人各持有</w:t>
      </w:r>
      <w:r>
        <w:rPr>
          <w:rFonts w:ascii="宋体" w:hAnsi="宋体" w:cs="宋体" w:hint="eastAsia"/>
          <w:sz w:val="24"/>
          <w:highlight w:val="white"/>
          <w:lang w:eastAsia="zh-CN"/>
        </w:rPr>
        <w:t>二</w:t>
      </w:r>
      <w:r>
        <w:rPr>
          <w:rFonts w:ascii="宋体" w:hAnsi="宋体" w:cs="宋体"/>
          <w:sz w:val="24"/>
          <w:highlight w:val="white"/>
          <w:lang w:eastAsia="zh-CN"/>
        </w:rPr>
        <w:t>份，每份具有同等的法律效力。</w:t>
      </w:r>
    </w:p>
    <w:p w:rsidR="00052C6C">
      <w:pPr>
        <w:snapToGrid w:val="0"/>
        <w:rPr>
          <w:rFonts w:ascii="宋体" w:hAnsi="宋体" w:cs="宋体"/>
          <w:sz w:val="24"/>
          <w:lang w:eastAsia="zh-CN"/>
        </w:rPr>
      </w:pPr>
    </w:p>
    <w:p w:rsidR="00052C6C">
      <w:pPr>
        <w:pStyle w:val="21"/>
        <w:jc w:val="center"/>
        <w:rPr>
          <w:rFonts w:ascii="宋体" w:eastAsia="宋体" w:hAnsi="宋体" w:cs="宋体"/>
          <w:sz w:val="30"/>
          <w:lang w:eastAsia="zh-CN"/>
        </w:rPr>
      </w:pPr>
      <w:bookmarkStart w:id="98" w:name="_Toc164350605"/>
      <w:r>
        <w:rPr>
          <w:rFonts w:ascii="宋体" w:eastAsia="宋体" w:hAnsi="宋体" w:cs="宋体" w:hint="eastAsia"/>
          <w:sz w:val="30"/>
          <w:highlight w:val="white"/>
          <w:lang w:eastAsia="zh-CN"/>
        </w:rPr>
        <w:t>二十、其他事项</w:t>
      </w:r>
      <w:bookmarkEnd w:id="98"/>
    </w:p>
    <w:p w:rsidR="00052C6C">
      <w:pPr>
        <w:snapToGrid w:val="0"/>
        <w:ind w:firstLine="480"/>
        <w:rPr>
          <w:rFonts w:ascii="宋体" w:hAnsi="宋体" w:cs="宋体"/>
          <w:sz w:val="24"/>
          <w:lang w:eastAsia="zh-CN"/>
        </w:rPr>
      </w:pPr>
      <w:r>
        <w:rPr>
          <w:rFonts w:ascii="宋体" w:hAnsi="宋体" w:cs="宋体" w:hint="eastAsia"/>
          <w:sz w:val="24"/>
          <w:highlight w:val="white"/>
          <w:lang w:eastAsia="zh-CN"/>
        </w:rPr>
        <w:t>如发生有权司法机关依法冻结基金份额持有人的基金份额时，基金管理人应予以配合，承担司法协助义务。</w:t>
      </w:r>
    </w:p>
    <w:p w:rsidR="00052C6C">
      <w:pPr>
        <w:snapToGrid w:val="0"/>
        <w:ind w:firstLine="480"/>
        <w:rPr>
          <w:rFonts w:ascii="宋体" w:hAnsi="宋体" w:cs="宋体"/>
          <w:sz w:val="24"/>
          <w:lang w:eastAsia="zh-CN"/>
        </w:rPr>
      </w:pPr>
      <w:r>
        <w:rPr>
          <w:rFonts w:ascii="宋体" w:hAnsi="宋体" w:cs="宋体" w:hint="eastAsia"/>
          <w:sz w:val="24"/>
          <w:highlight w:val="white"/>
          <w:lang w:eastAsia="zh-CN"/>
        </w:rPr>
        <w:t>除本协议有明确定义外，本协议的用语定义适用《基金合同》的约定。本协议未尽事宜，当事人依据《基金合同》、有关法律法规等规定协商办理。</w:t>
      </w:r>
    </w:p>
    <w:p w:rsidR="00052C6C">
      <w:pPr>
        <w:snapToGrid w:val="0"/>
        <w:rPr>
          <w:rFonts w:ascii="宋体" w:hAnsi="宋体" w:cs="宋体"/>
          <w:b/>
          <w:bCs/>
          <w:lang w:eastAsia="zh-CN"/>
        </w:rPr>
      </w:pPr>
    </w:p>
    <w:p w:rsidR="00052C6C">
      <w:pPr>
        <w:pStyle w:val="21"/>
        <w:jc w:val="center"/>
        <w:rPr>
          <w:rFonts w:ascii="宋体" w:eastAsia="宋体" w:hAnsi="宋体" w:cs="宋体"/>
          <w:sz w:val="30"/>
          <w:lang w:eastAsia="zh-CN"/>
        </w:rPr>
      </w:pPr>
      <w:bookmarkStart w:id="99" w:name="_Toc164350606"/>
      <w:r>
        <w:rPr>
          <w:rFonts w:ascii="宋体" w:eastAsia="宋体" w:hAnsi="宋体" w:cs="宋体" w:hint="eastAsia"/>
          <w:sz w:val="30"/>
          <w:highlight w:val="white"/>
          <w:lang w:eastAsia="zh-CN"/>
        </w:rPr>
        <w:t>二十一、托管协议的签订</w:t>
      </w:r>
      <w:bookmarkEnd w:id="99"/>
    </w:p>
    <w:p w:rsidR="00052C6C">
      <w:pPr>
        <w:snapToGrid w:val="0"/>
        <w:ind w:firstLine="480"/>
        <w:rPr>
          <w:rFonts w:ascii="宋体" w:hAnsi="宋体" w:cs="宋体"/>
          <w:sz w:val="24"/>
          <w:lang w:eastAsia="zh-CN"/>
        </w:rPr>
      </w:pPr>
      <w:r>
        <w:rPr>
          <w:rFonts w:ascii="宋体" w:hAnsi="宋体" w:cs="宋体" w:hint="eastAsia"/>
          <w:sz w:val="24"/>
          <w:highlight w:val="white"/>
          <w:lang w:eastAsia="zh-CN"/>
        </w:rPr>
        <w:t>本协议双方法定代表人或授权代表签章、签订地、签订日</w:t>
      </w:r>
    </w:p>
    <w:p w:rsidR="00052C6C">
      <w:pPr>
        <w:widowControl/>
        <w:spacing w:beforeAutospacing="1" w:afterAutospacing="1"/>
        <w:jc w:val="left"/>
        <w:rPr>
          <w:rFonts w:ascii="宋体" w:hAnsi="宋体" w:cs="宋体"/>
          <w:sz w:val="24"/>
          <w:lang w:eastAsia="zh-CN"/>
        </w:rPr>
        <w:sectPr>
          <w:headerReference w:type="default" r:id="rId6"/>
          <w:pgSz w:w="11906" w:h="16838"/>
          <w:pgMar w:top="1418" w:right="1701" w:bottom="1418" w:left="1701" w:header="851" w:footer="992" w:gutter="0"/>
          <w:cols w:space="720"/>
          <w:docGrid w:type="lines" w:linePitch="312"/>
        </w:sectPr>
      </w:pPr>
    </w:p>
    <w:p w:rsidR="00052C6C">
      <w:pPr>
        <w:spacing w:line="360" w:lineRule="auto"/>
        <w:rPr>
          <w:rFonts w:ascii="宋体" w:hAnsi="宋体" w:cs="宋体"/>
          <w:sz w:val="24"/>
          <w:lang w:eastAsia="zh-CN"/>
        </w:rPr>
      </w:pPr>
      <w:r>
        <w:rPr>
          <w:rFonts w:ascii="宋体" w:hAnsi="宋体" w:cs="宋体" w:hint="eastAsia"/>
          <w:sz w:val="24"/>
          <w:lang w:eastAsia="zh-CN" w:bidi="ar"/>
        </w:rPr>
        <w:t>本页无正文，为《易方达国证机器人产业交易型开放式指数证券投资基金发起式联接基金托管协议》的签字盖章页。</w:t>
      </w:r>
    </w:p>
    <w:p w:rsidR="00052C6C">
      <w:pPr>
        <w:spacing w:line="360" w:lineRule="auto"/>
        <w:rPr>
          <w:rFonts w:ascii="宋体" w:hAnsi="宋体" w:cs="宋体"/>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《托管协议》当事人盖章及法定代表人或授权代表签字</w:t>
      </w:r>
      <w:r>
        <w:rPr>
          <w:rFonts w:ascii="宋体" w:hAnsi="宋体" w:cs="宋体" w:hint="eastAsia"/>
          <w:b/>
          <w:sz w:val="24"/>
          <w:highlight w:val="white"/>
          <w:lang w:eastAsia="zh-CN" w:bidi="ar"/>
        </w:rPr>
        <w:t>/</w:t>
      </w:r>
      <w:r>
        <w:rPr>
          <w:rFonts w:ascii="宋体" w:hAnsi="宋体" w:cs="宋体" w:hint="eastAsia"/>
          <w:b/>
          <w:sz w:val="24"/>
          <w:highlight w:val="white"/>
          <w:lang w:eastAsia="zh-CN" w:bidi="ar"/>
        </w:rPr>
        <w:t>签章</w:t>
      </w:r>
      <w:r>
        <w:rPr>
          <w:rFonts w:ascii="宋体" w:hAnsi="宋体" w:cs="宋体" w:hint="eastAsia"/>
          <w:b/>
          <w:bCs/>
          <w:sz w:val="24"/>
          <w:highlight w:val="white"/>
          <w:lang w:eastAsia="zh-CN" w:bidi="ar"/>
        </w:rPr>
        <w:t>、签订地、签订日</w:t>
      </w: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基金管理人：易方达基金管理有限公司（章）</w:t>
      </w: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法定代表人或授权代表（签字</w:t>
      </w:r>
      <w:r>
        <w:rPr>
          <w:rFonts w:ascii="宋体" w:hAnsi="宋体" w:cs="宋体" w:hint="eastAsia"/>
          <w:b/>
          <w:sz w:val="24"/>
          <w:highlight w:val="white"/>
          <w:lang w:eastAsia="zh-CN" w:bidi="ar"/>
        </w:rPr>
        <w:t>/</w:t>
      </w:r>
      <w:r>
        <w:rPr>
          <w:rFonts w:ascii="宋体" w:hAnsi="宋体" w:cs="宋体" w:hint="eastAsia"/>
          <w:b/>
          <w:sz w:val="24"/>
          <w:highlight w:val="white"/>
          <w:lang w:eastAsia="zh-CN" w:bidi="ar"/>
        </w:rPr>
        <w:t>签章）：</w:t>
      </w: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基金托管人：</w:t>
      </w:r>
      <w:r>
        <w:rPr>
          <w:rFonts w:ascii="宋体" w:hAnsi="宋体" w:cs="宋体" w:hint="eastAsia"/>
          <w:b/>
          <w:sz w:val="24"/>
          <w:lang w:eastAsia="zh-CN" w:bidi="ar"/>
        </w:rPr>
        <w:t>中国建设银行股份有限公司</w:t>
      </w:r>
      <w:r>
        <w:rPr>
          <w:rFonts w:ascii="宋体" w:hAnsi="宋体" w:cs="宋体" w:hint="eastAsia"/>
          <w:b/>
          <w:sz w:val="24"/>
          <w:highlight w:val="white"/>
          <w:lang w:eastAsia="zh-CN" w:bidi="ar"/>
        </w:rPr>
        <w:t>（章）</w:t>
      </w: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法定代表人或授权代表（签字</w:t>
      </w:r>
      <w:r>
        <w:rPr>
          <w:rFonts w:ascii="宋体" w:hAnsi="宋体" w:cs="宋体" w:hint="eastAsia"/>
          <w:b/>
          <w:sz w:val="24"/>
          <w:highlight w:val="white"/>
          <w:lang w:eastAsia="zh-CN" w:bidi="ar"/>
        </w:rPr>
        <w:t>/</w:t>
      </w:r>
      <w:r>
        <w:rPr>
          <w:rFonts w:ascii="宋体" w:hAnsi="宋体" w:cs="宋体" w:hint="eastAsia"/>
          <w:b/>
          <w:sz w:val="24"/>
          <w:highlight w:val="white"/>
          <w:lang w:eastAsia="zh-CN" w:bidi="ar"/>
        </w:rPr>
        <w:t>签章）：</w:t>
      </w: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签订地点：</w:t>
      </w:r>
    </w:p>
    <w:p w:rsidR="00052C6C">
      <w:pPr>
        <w:spacing w:line="360" w:lineRule="auto"/>
        <w:ind w:right="26"/>
        <w:rPr>
          <w:rFonts w:ascii="宋体" w:hAnsi="宋体" w:cs="宋体"/>
          <w:b/>
          <w:sz w:val="24"/>
          <w:lang w:eastAsia="zh-CN"/>
        </w:rPr>
      </w:pPr>
      <w:r>
        <w:rPr>
          <w:rFonts w:ascii="宋体" w:hAnsi="宋体" w:cs="宋体" w:hint="eastAsia"/>
          <w:b/>
          <w:sz w:val="24"/>
          <w:highlight w:val="white"/>
          <w:lang w:eastAsia="zh-CN" w:bidi="ar"/>
        </w:rPr>
        <w:t>签订日：</w:t>
      </w:r>
      <w:r>
        <w:rPr>
          <w:rFonts w:ascii="宋体" w:hAnsi="宋体" w:cs="宋体" w:hint="eastAsia"/>
          <w:b/>
          <w:sz w:val="24"/>
          <w:highlight w:val="white"/>
          <w:lang w:eastAsia="zh-CN" w:bidi="ar"/>
        </w:rPr>
        <w:t xml:space="preserve">    </w:t>
      </w:r>
      <w:r>
        <w:rPr>
          <w:rFonts w:ascii="宋体" w:hAnsi="宋体" w:cs="宋体" w:hint="eastAsia"/>
          <w:b/>
          <w:sz w:val="24"/>
          <w:highlight w:val="white"/>
          <w:lang w:eastAsia="zh-CN" w:bidi="ar"/>
        </w:rPr>
        <w:t>年</w:t>
      </w:r>
      <w:r>
        <w:rPr>
          <w:rFonts w:ascii="宋体" w:hAnsi="宋体" w:cs="宋体" w:hint="eastAsia"/>
          <w:b/>
          <w:sz w:val="24"/>
          <w:highlight w:val="white"/>
          <w:lang w:eastAsia="zh-CN" w:bidi="ar"/>
        </w:rPr>
        <w:t xml:space="preserve">   </w:t>
      </w:r>
      <w:r>
        <w:rPr>
          <w:rFonts w:ascii="宋体" w:hAnsi="宋体" w:cs="宋体" w:hint="eastAsia"/>
          <w:b/>
          <w:sz w:val="24"/>
          <w:highlight w:val="white"/>
          <w:lang w:eastAsia="zh-CN" w:bidi="ar"/>
        </w:rPr>
        <w:t>月</w:t>
      </w:r>
      <w:r>
        <w:rPr>
          <w:rFonts w:ascii="宋体" w:hAnsi="宋体" w:cs="宋体" w:hint="eastAsia"/>
          <w:b/>
          <w:sz w:val="24"/>
          <w:highlight w:val="white"/>
          <w:lang w:eastAsia="zh-CN" w:bidi="ar"/>
        </w:rPr>
        <w:t xml:space="preserve">   </w:t>
      </w:r>
      <w:r>
        <w:rPr>
          <w:rFonts w:ascii="宋体" w:hAnsi="宋体" w:cs="宋体" w:hint="eastAsia"/>
          <w:b/>
          <w:sz w:val="24"/>
          <w:highlight w:val="white"/>
          <w:lang w:eastAsia="zh-CN" w:bidi="ar"/>
        </w:rPr>
        <w:t>日</w:t>
      </w:r>
    </w:p>
    <w:p w:rsidR="00052C6C">
      <w:pPr>
        <w:spacing w:line="360" w:lineRule="auto"/>
        <w:ind w:right="26"/>
        <w:rPr>
          <w:rFonts w:ascii="宋体" w:hAnsi="宋体" w:cs="宋体"/>
          <w:b/>
          <w:sz w:val="24"/>
          <w:lang w:eastAsia="zh-CN"/>
        </w:rPr>
      </w:pPr>
      <w:bookmarkStart w:id="100" w:name="_Hlt89590562"/>
      <w:bookmarkEnd w:id="100"/>
    </w:p>
    <w:p w:rsidR="00052C6C">
      <w:pPr>
        <w:spacing w:line="360" w:lineRule="auto"/>
        <w:rPr>
          <w:rFonts w:ascii="宋体" w:hAnsi="宋体" w:cs="宋体"/>
          <w:lang w:eastAsia="zh-CN"/>
        </w:rPr>
      </w:pPr>
    </w:p>
    <w:sectPr>
      <w:headerReference w:type="default" r:id="rId7"/>
      <w:footerReference w:type="default" r:id="rId8"/>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8161314"/>
      <w:richText/>
    </w:sdtPr>
    <w:sdtContent>
      <w:p w:rsidR="00052C6C">
        <w:pPr>
          <w:pStyle w:val="1"/>
          <w:snapToGrid/>
          <w:jc w:val="center"/>
        </w:pPr>
        <w:r>
          <w:fldChar w:fldCharType="begin"/>
        </w:r>
        <w:r>
          <w:rPr>
            <w:highlight w:val="white"/>
          </w:rPr>
          <w:instrText>PAGE   \* MERGEFORMAT</w:instrText>
        </w:r>
        <w:r>
          <w:fldChar w:fldCharType="separate"/>
        </w:r>
        <w:r w:rsidRPr="001460C7">
          <w:rPr>
            <w:noProof/>
            <w:highlight w:val="white"/>
            <w:lang w:val="zh-CN"/>
          </w:rPr>
          <w:t>28</w:t>
        </w:r>
        <w:r>
          <w:fldChar w:fldCharType="end"/>
        </w:r>
      </w:p>
    </w:sdtContent>
  </w:sdt>
  <w:p w:rsidR="00052C6C">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C6C">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C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C6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6C"/>
    <w:rsid w:val="BD4BF554"/>
    <w:rsid w:val="D5FE4FC8"/>
    <w:rsid w:val="F1FACE19"/>
    <w:rsid w:val="00052C6C"/>
    <w:rsid w:val="000B2FF7"/>
    <w:rsid w:val="001460C7"/>
    <w:rsid w:val="0026459E"/>
    <w:rsid w:val="005A7991"/>
    <w:rsid w:val="00846C8D"/>
    <w:rsid w:val="00855FAF"/>
    <w:rsid w:val="00C31B3E"/>
    <w:rsid w:val="00D83993"/>
    <w:rsid w:val="1FDC8130"/>
    <w:rsid w:val="57FBF51C"/>
    <w:rsid w:val="72DA8FDA"/>
    <w:rsid w:val="73FB3808"/>
    <w:rsid w:val="7BFE13FF"/>
    <w:rsid w:val="7FFFAD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4ED625FD-0AC4-4392-91C2-56ECB255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FFFFFF" w:fill="FFFFFF"/>
      <w:jc w:val="both"/>
    </w:pPr>
    <w:rPr>
      <w:rFonts w:ascii="Times New Roman" w:hAnsi="Times New Roman" w:cs="Times New Roma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ind w:left="2520"/>
    </w:pPr>
  </w:style>
  <w:style w:type="paragraph" w:styleId="NormalIndent">
    <w:name w:val="Normal Indent"/>
    <w:basedOn w:val="Normal"/>
    <w:qFormat/>
    <w:pPr>
      <w:ind w:firstLine="420"/>
    </w:pPr>
  </w:style>
  <w:style w:type="paragraph" w:styleId="CommentText">
    <w:name w:val="annotation text"/>
    <w:basedOn w:val="Normal"/>
    <w:link w:val="a8"/>
    <w:qFormat/>
    <w:pPr>
      <w:jc w:val="left"/>
    </w:pPr>
  </w:style>
  <w:style w:type="paragraph" w:styleId="BodyText">
    <w:name w:val="Body Text"/>
    <w:basedOn w:val="Normal"/>
    <w:link w:val="a5"/>
    <w:qFormat/>
    <w:pPr>
      <w:spacing w:line="360" w:lineRule="auto"/>
    </w:pPr>
    <w:rPr>
      <w:rFonts w:ascii="仿宋_GB2312" w:eastAsia="仿宋_GB2312"/>
      <w:color w:val="000000"/>
      <w:sz w:val="24"/>
      <w:szCs w:val="28"/>
    </w:rPr>
  </w:style>
  <w:style w:type="paragraph" w:styleId="BodyTextIndent">
    <w:name w:val="Body Text Indent"/>
    <w:basedOn w:val="Normal"/>
    <w:link w:val="a6"/>
    <w:qFormat/>
    <w:pPr>
      <w:snapToGrid w:val="0"/>
      <w:spacing w:line="560" w:lineRule="exact"/>
      <w:ind w:firstLine="480"/>
    </w:pPr>
    <w:rPr>
      <w:rFonts w:eastAsia="方正仿宋简体"/>
      <w:sz w:val="24"/>
      <w:szCs w:val="30"/>
    </w:rPr>
  </w:style>
  <w:style w:type="paragraph" w:styleId="TOC5">
    <w:name w:val="toc 5"/>
    <w:basedOn w:val="Normal"/>
    <w:next w:val="Normal"/>
    <w:semiHidden/>
    <w:pPr>
      <w:ind w:left="1680"/>
    </w:pPr>
  </w:style>
  <w:style w:type="paragraph" w:styleId="TOC3">
    <w:name w:val="toc 3"/>
    <w:basedOn w:val="Normal"/>
    <w:next w:val="Normal"/>
    <w:semiHidden/>
    <w:pPr>
      <w:ind w:left="840"/>
    </w:pPr>
  </w:style>
  <w:style w:type="paragraph" w:styleId="TOC8">
    <w:name w:val="toc 8"/>
    <w:basedOn w:val="Normal"/>
    <w:next w:val="Normal"/>
    <w:semiHidden/>
    <w:pPr>
      <w:ind w:left="2940"/>
    </w:pPr>
  </w:style>
  <w:style w:type="paragraph" w:styleId="BodyTextIndent2">
    <w:name w:val="Body Text Indent 2"/>
    <w:basedOn w:val="Normal"/>
    <w:link w:val="2"/>
    <w:qFormat/>
    <w:pPr>
      <w:spacing w:line="360" w:lineRule="auto"/>
      <w:ind w:firstLine="525"/>
    </w:pPr>
    <w:rPr>
      <w:rFonts w:ascii="宋体" w:hAnsi="宋体"/>
      <w:sz w:val="28"/>
      <w:szCs w:val="20"/>
    </w:rPr>
  </w:style>
  <w:style w:type="paragraph" w:styleId="EndnoteText">
    <w:name w:val="endnote text"/>
    <w:basedOn w:val="Normal"/>
    <w:link w:val="a"/>
    <w:uiPriority w:val="99"/>
    <w:semiHidden/>
    <w:unhideWhenUsed/>
    <w:rPr>
      <w:sz w:val="20"/>
    </w:rPr>
  </w:style>
  <w:style w:type="paragraph" w:styleId="BalloonText">
    <w:name w:val="Balloon Text"/>
    <w:basedOn w:val="Normal"/>
    <w:link w:val="a7"/>
    <w:semiHidden/>
    <w:rPr>
      <w:sz w:val="18"/>
      <w:szCs w:val="18"/>
    </w:rPr>
  </w:style>
  <w:style w:type="paragraph" w:styleId="TOC1">
    <w:name w:val="toc 1"/>
    <w:basedOn w:val="Normal"/>
    <w:next w:val="Normal"/>
    <w:semiHidden/>
  </w:style>
  <w:style w:type="paragraph" w:styleId="TOC4">
    <w:name w:val="toc 4"/>
    <w:basedOn w:val="Normal"/>
    <w:next w:val="Normal"/>
    <w:semiHidden/>
    <w:pPr>
      <w:ind w:left="1260"/>
    </w:pPr>
  </w:style>
  <w:style w:type="paragraph" w:styleId="Subtitle">
    <w:name w:val="Subtitle"/>
    <w:basedOn w:val="Normal"/>
    <w:next w:val="Normal"/>
    <w:link w:val="a1"/>
    <w:uiPriority w:val="11"/>
    <w:qFormat/>
    <w:pPr>
      <w:spacing w:before="200" w:after="200"/>
    </w:pPr>
    <w:rPr>
      <w:sz w:val="24"/>
    </w:rPr>
  </w:style>
  <w:style w:type="paragraph" w:styleId="FootnoteText">
    <w:name w:val="footnote text"/>
    <w:basedOn w:val="Normal"/>
    <w:link w:val="a4"/>
    <w:uiPriority w:val="99"/>
    <w:semiHidden/>
    <w:unhideWhenUsed/>
    <w:qFormat/>
    <w:pPr>
      <w:spacing w:after="40"/>
    </w:pPr>
    <w:rPr>
      <w:sz w:val="18"/>
    </w:rPr>
  </w:style>
  <w:style w:type="paragraph" w:styleId="TOC6">
    <w:name w:val="toc 6"/>
    <w:basedOn w:val="Normal"/>
    <w:next w:val="Normal"/>
    <w:semiHidden/>
    <w:pPr>
      <w:ind w:left="2100"/>
    </w:pPr>
  </w:style>
  <w:style w:type="paragraph" w:styleId="BodyTextIndent3">
    <w:name w:val="Body Text Indent 3"/>
    <w:basedOn w:val="Normal"/>
    <w:link w:val="3"/>
    <w:pPr>
      <w:snapToGrid w:val="0"/>
      <w:ind w:firstLine="480"/>
    </w:pPr>
    <w:rPr>
      <w:rFonts w:ascii="仿宋_GB2312" w:eastAsia="仿宋_GB2312" w:hAnsi="宋体" w:cs="Arial"/>
      <w:color w:val="000000"/>
      <w:sz w:val="24"/>
    </w:rPr>
  </w:style>
  <w:style w:type="paragraph" w:styleId="TableofFigures">
    <w:name w:val="table of figures"/>
    <w:basedOn w:val="Normal"/>
    <w:next w:val="Normal"/>
    <w:uiPriority w:val="99"/>
    <w:unhideWhenUsed/>
  </w:style>
  <w:style w:type="paragraph" w:styleId="TOC2">
    <w:name w:val="toc 2"/>
    <w:basedOn w:val="Normal"/>
    <w:next w:val="Normal"/>
    <w:uiPriority w:val="39"/>
    <w:pPr>
      <w:tabs>
        <w:tab w:val="right" w:leader="dot" w:pos="8494"/>
      </w:tabs>
      <w:ind w:left="420"/>
    </w:pPr>
  </w:style>
  <w:style w:type="paragraph" w:styleId="TOC9">
    <w:name w:val="toc 9"/>
    <w:basedOn w:val="Normal"/>
    <w:next w:val="Normal"/>
    <w:semiHidden/>
    <w:pPr>
      <w:ind w:left="3360"/>
    </w:pPr>
  </w:style>
  <w:style w:type="paragraph" w:styleId="HTMLPreformatted">
    <w:name w:val="HTML Preformatted"/>
    <w:basedOn w:val="Normal"/>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NormalWeb">
    <w:name w:val="Normal (Web)"/>
    <w:basedOn w:val="Normal"/>
    <w:uiPriority w:val="99"/>
    <w:qFormat/>
    <w:pPr>
      <w:widowControl/>
      <w:spacing w:before="100" w:beforeAutospacing="1" w:after="100" w:afterAutospacing="1"/>
      <w:jc w:val="left"/>
    </w:pPr>
    <w:rPr>
      <w:rFonts w:ascii="Arial Unicode MS" w:hAnsi="Arial Unicode MS" w:cs="Arial Unicode MS"/>
      <w:sz w:val="24"/>
    </w:rPr>
  </w:style>
  <w:style w:type="paragraph" w:styleId="Title">
    <w:name w:val="Title"/>
    <w:basedOn w:val="Normal"/>
    <w:next w:val="Normal"/>
    <w:link w:val="a0"/>
    <w:uiPriority w:val="10"/>
    <w:qFormat/>
    <w:pPr>
      <w:spacing w:before="300" w:after="200"/>
      <w:contextualSpacing/>
    </w:pPr>
    <w:rPr>
      <w:sz w:val="48"/>
      <w:szCs w:val="48"/>
    </w:rPr>
  </w:style>
  <w:style w:type="paragraph" w:styleId="CommentSubject">
    <w:name w:val="annotation subject"/>
    <w:basedOn w:val="CommentText"/>
    <w:next w:val="CommentText"/>
    <w:link w:val="a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Strong">
    <w:name w:val="Strong"/>
    <w:qForma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21">
    <w:name w:val="标题 21"/>
    <w:basedOn w:val="Normal"/>
    <w:next w:val="NormalIndent"/>
    <w:link w:val="2Char"/>
    <w:qFormat/>
    <w:pPr>
      <w:keepNext/>
      <w:keepLines/>
      <w:spacing w:before="260" w:after="260" w:line="416" w:lineRule="auto"/>
      <w:outlineLvl w:val="1"/>
    </w:pPr>
    <w:rPr>
      <w:rFonts w:ascii="Arial" w:eastAsia="黑体" w:hAnsi="Arial"/>
      <w:b/>
      <w:sz w:val="32"/>
      <w:szCs w:val="20"/>
    </w:rPr>
  </w:style>
  <w:style w:type="character" w:customStyle="1" w:styleId="a">
    <w:name w:val="尾注文本 字符"/>
    <w:link w:val="EndnoteText"/>
    <w:uiPriority w:val="99"/>
    <w:qFormat/>
    <w:rPr>
      <w:sz w:val="20"/>
    </w:rPr>
  </w:style>
  <w:style w:type="paragraph" w:customStyle="1" w:styleId="1">
    <w:name w:val="页脚1"/>
    <w:basedOn w:val="Normal"/>
    <w:link w:val="Char"/>
    <w:uiPriority w:val="99"/>
    <w:unhideWhenUsed/>
    <w:qFormat/>
    <w:pPr>
      <w:tabs>
        <w:tab w:val="center" w:pos="4153"/>
        <w:tab w:val="right" w:pos="8306"/>
      </w:tabs>
      <w:snapToGrid w:val="0"/>
      <w:jc w:val="left"/>
    </w:pPr>
    <w:rPr>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pPr>
      <w:shd w:val="clear" w:color="FFFFFF" w:fill="FFFFFF"/>
    </w:pPr>
    <w:rPr>
      <w:sz w:val="21"/>
      <w:szCs w:val="22"/>
      <w:lang w:eastAsia="en-US"/>
    </w:rPr>
  </w:style>
  <w:style w:type="character" w:customStyle="1" w:styleId="a0">
    <w:name w:val="标题 字符"/>
    <w:basedOn w:val="DefaultParagraphFont"/>
    <w:link w:val="Title"/>
    <w:uiPriority w:val="10"/>
    <w:qFormat/>
    <w:rPr>
      <w:sz w:val="48"/>
      <w:szCs w:val="48"/>
    </w:rPr>
  </w:style>
  <w:style w:type="character" w:customStyle="1" w:styleId="a1">
    <w:name w:val="副标题 字符"/>
    <w:basedOn w:val="DefaultParagraphFont"/>
    <w:link w:val="Subtitle"/>
    <w:uiPriority w:val="11"/>
    <w:qFormat/>
    <w:rPr>
      <w:sz w:val="24"/>
      <w:szCs w:val="24"/>
    </w:rPr>
  </w:style>
  <w:style w:type="paragraph" w:styleId="Quote">
    <w:name w:val="Quote"/>
    <w:basedOn w:val="Normal"/>
    <w:next w:val="Normal"/>
    <w:link w:val="a2"/>
    <w:uiPriority w:val="29"/>
    <w:qFormat/>
    <w:pPr>
      <w:ind w:left="720" w:right="720"/>
    </w:pPr>
    <w:rPr>
      <w:i/>
    </w:rPr>
  </w:style>
  <w:style w:type="character" w:customStyle="1" w:styleId="a2">
    <w:name w:val="引用 字符"/>
    <w:link w:val="Quote"/>
    <w:uiPriority w:val="29"/>
    <w:qFormat/>
    <w:rPr>
      <w:i/>
    </w:rPr>
  </w:style>
  <w:style w:type="paragraph" w:styleId="IntenseQuote">
    <w:name w:val="Intense Quote"/>
    <w:basedOn w:val="Normal"/>
    <w:next w:val="Normal"/>
    <w:link w:val="a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3">
    <w:name w:val="明显引用 字符"/>
    <w:link w:val="IntenseQuote"/>
    <w:uiPriority w:val="30"/>
    <w:qFormat/>
    <w:rPr>
      <w:i/>
    </w:rPr>
  </w:style>
  <w:style w:type="character" w:customStyle="1" w:styleId="a4">
    <w:name w:val="脚注文本 字符"/>
    <w:link w:val="FootnoteText"/>
    <w:uiPriority w:val="99"/>
    <w:qFormat/>
    <w:rPr>
      <w:sz w:val="18"/>
    </w:rPr>
  </w:style>
  <w:style w:type="character" w:customStyle="1" w:styleId="2Char">
    <w:name w:val="标题 2 Char"/>
    <w:basedOn w:val="DefaultParagraphFont"/>
    <w:link w:val="21"/>
    <w:qFormat/>
    <w:rPr>
      <w:rFonts w:ascii="Arial" w:eastAsia="黑体" w:hAnsi="Arial" w:cs="Times New Roman"/>
      <w:b/>
      <w:sz w:val="32"/>
      <w:szCs w:val="20"/>
    </w:rPr>
  </w:style>
  <w:style w:type="character" w:customStyle="1" w:styleId="Char">
    <w:name w:val="页脚 Char"/>
    <w:basedOn w:val="DefaultParagraphFont"/>
    <w:link w:val="1"/>
    <w:uiPriority w:val="99"/>
    <w:qFormat/>
    <w:rPr>
      <w:rFonts w:ascii="Times New Roman" w:eastAsia="宋体" w:hAnsi="Times New Roman" w:cs="Times New Roman"/>
      <w:sz w:val="18"/>
      <w:szCs w:val="18"/>
    </w:rPr>
  </w:style>
  <w:style w:type="character" w:customStyle="1" w:styleId="a5">
    <w:name w:val="正文文本 字符"/>
    <w:basedOn w:val="DefaultParagraphFont"/>
    <w:link w:val="BodyText"/>
    <w:qFormat/>
    <w:rPr>
      <w:rFonts w:ascii="仿宋_GB2312" w:eastAsia="仿宋_GB2312" w:hAnsi="Times New Roman" w:cs="Times New Roman"/>
      <w:color w:val="000000"/>
      <w:sz w:val="24"/>
      <w:szCs w:val="28"/>
    </w:rPr>
  </w:style>
  <w:style w:type="character" w:customStyle="1" w:styleId="read">
    <w:name w:val="read"/>
    <w:basedOn w:val="DefaultParagraphFont"/>
    <w:qFormat/>
  </w:style>
  <w:style w:type="character" w:customStyle="1" w:styleId="a6">
    <w:name w:val="正文文本缩进 字符"/>
    <w:basedOn w:val="DefaultParagraphFont"/>
    <w:link w:val="BodyTextIndent"/>
    <w:qFormat/>
    <w:rPr>
      <w:rFonts w:ascii="Times New Roman" w:eastAsia="方正仿宋简体" w:hAnsi="Times New Roman" w:cs="Times New Roman"/>
      <w:sz w:val="24"/>
      <w:szCs w:val="30"/>
    </w:rPr>
  </w:style>
  <w:style w:type="character" w:customStyle="1" w:styleId="2">
    <w:name w:val="正文文本缩进 2 字符"/>
    <w:basedOn w:val="DefaultParagraphFont"/>
    <w:link w:val="BodyTextIndent2"/>
    <w:qFormat/>
    <w:rPr>
      <w:rFonts w:ascii="宋体" w:eastAsia="宋体" w:hAnsi="宋体" w:cs="Times New Roman"/>
      <w:sz w:val="28"/>
      <w:szCs w:val="20"/>
    </w:rPr>
  </w:style>
  <w:style w:type="character" w:customStyle="1" w:styleId="3">
    <w:name w:val="正文文本缩进 3 字符"/>
    <w:basedOn w:val="DefaultParagraphFont"/>
    <w:link w:val="BodyTextIndent3"/>
    <w:qFormat/>
    <w:rPr>
      <w:rFonts w:ascii="仿宋_GB2312" w:eastAsia="仿宋_GB2312" w:hAnsi="宋体" w:cs="Arial"/>
      <w:color w:val="000000"/>
      <w:sz w:val="24"/>
      <w:szCs w:val="24"/>
    </w:rPr>
  </w:style>
  <w:style w:type="character" w:customStyle="1" w:styleId="a7">
    <w:name w:val="批注框文本 字符"/>
    <w:basedOn w:val="DefaultParagraphFont"/>
    <w:link w:val="BalloonText"/>
    <w:semiHidden/>
    <w:rPr>
      <w:rFonts w:ascii="Times New Roman" w:eastAsia="宋体" w:hAnsi="Times New Roman" w:cs="Times New Roman"/>
      <w:sz w:val="18"/>
      <w:szCs w:val="18"/>
    </w:rPr>
  </w:style>
  <w:style w:type="character" w:customStyle="1" w:styleId="a8">
    <w:name w:val="批注文字 字符"/>
    <w:basedOn w:val="DefaultParagraphFont"/>
    <w:link w:val="CommentText"/>
    <w:qFormat/>
    <w:rPr>
      <w:rFonts w:ascii="Times New Roman" w:eastAsia="宋体" w:hAnsi="Times New Roman" w:cs="Times New Roman"/>
      <w:sz w:val="24"/>
      <w:szCs w:val="24"/>
    </w:rPr>
  </w:style>
  <w:style w:type="character" w:customStyle="1" w:styleId="HTML">
    <w:name w:val="HTML 预设格式 字符"/>
    <w:basedOn w:val="DefaultParagraphFont"/>
    <w:link w:val="HTMLPreformatted"/>
    <w:uiPriority w:val="99"/>
    <w:rPr>
      <w:rFonts w:ascii="宋体" w:eastAsia="宋体" w:hAnsi="宋体" w:cs="宋体"/>
      <w:sz w:val="24"/>
      <w:szCs w:val="24"/>
    </w:rPr>
  </w:style>
  <w:style w:type="character" w:customStyle="1" w:styleId="a9">
    <w:name w:val="批注主题 字符"/>
    <w:basedOn w:val="a8"/>
    <w:link w:val="CommentSubject"/>
    <w:qFormat/>
    <w:rPr>
      <w:rFonts w:ascii="Times New Roman" w:eastAsia="宋体" w:hAnsi="Times New Roman" w:cs="Times New Roman"/>
      <w:b/>
      <w:bCs/>
      <w:sz w:val="24"/>
      <w:szCs w:val="24"/>
    </w:rPr>
  </w:style>
  <w:style w:type="paragraph" w:styleId="Header">
    <w:name w:val="header"/>
    <w:basedOn w:val="Normal"/>
    <w:link w:val="a10"/>
    <w:uiPriority w:val="99"/>
    <w:unhideWhenUsed/>
    <w:rsid w:val="00846C8D"/>
    <w:pPr>
      <w:pBdr>
        <w:bottom w:val="single" w:sz="6" w:space="1" w:color="auto"/>
      </w:pBdr>
      <w:tabs>
        <w:tab w:val="center" w:pos="4153"/>
        <w:tab w:val="right" w:pos="8306"/>
      </w:tabs>
      <w:snapToGrid w:val="0"/>
      <w:jc w:val="center"/>
    </w:pPr>
    <w:rPr>
      <w:sz w:val="18"/>
      <w:szCs w:val="18"/>
    </w:rPr>
  </w:style>
  <w:style w:type="character" w:customStyle="1" w:styleId="a10">
    <w:name w:val="页眉 字符"/>
    <w:basedOn w:val="DefaultParagraphFont"/>
    <w:link w:val="Header"/>
    <w:uiPriority w:val="99"/>
    <w:rsid w:val="00846C8D"/>
    <w:rPr>
      <w:rFonts w:ascii="Times New Roman" w:hAnsi="Times New Roman" w:cs="Times New Roman"/>
      <w:sz w:val="18"/>
      <w:szCs w:val="18"/>
      <w:shd w:val="clear" w:color="FFFFFF" w:fill="FFFFFF"/>
      <w:lang w:eastAsia="en-US"/>
    </w:rPr>
  </w:style>
  <w:style w:type="paragraph" w:styleId="Footer">
    <w:name w:val="footer"/>
    <w:basedOn w:val="Normal"/>
    <w:link w:val="a11"/>
    <w:uiPriority w:val="99"/>
    <w:unhideWhenUsed/>
    <w:rsid w:val="00846C8D"/>
    <w:pPr>
      <w:tabs>
        <w:tab w:val="center" w:pos="4153"/>
        <w:tab w:val="right" w:pos="8306"/>
      </w:tabs>
      <w:snapToGrid w:val="0"/>
      <w:jc w:val="left"/>
    </w:pPr>
    <w:rPr>
      <w:sz w:val="18"/>
      <w:szCs w:val="18"/>
    </w:rPr>
  </w:style>
  <w:style w:type="character" w:customStyle="1" w:styleId="a11">
    <w:name w:val="页脚 字符"/>
    <w:basedOn w:val="DefaultParagraphFont"/>
    <w:link w:val="Footer"/>
    <w:uiPriority w:val="99"/>
    <w:rsid w:val="00846C8D"/>
    <w:rPr>
      <w:rFonts w:ascii="Times New Roman" w:hAnsi="Times New Roman" w:cs="Times New Roman"/>
      <w:sz w:val="18"/>
      <w:szCs w:val="18"/>
      <w:shd w:val="clear" w:color="FFFFFF"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29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